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3" w:rsidRDefault="00CF0424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20EB3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en-US"/>
        </w:rPr>
      </w:pPr>
    </w:p>
    <w:p w:rsidR="00C20EB3" w:rsidRDefault="00CF0424">
      <w:pPr>
        <w:pStyle w:val="20"/>
        <w:spacing w:after="0" w:line="360" w:lineRule="auto"/>
        <w:ind w:left="720" w:hanging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Реферат на тему:</w:t>
      </w:r>
    </w:p>
    <w:p w:rsidR="00C20EB3" w:rsidRDefault="00CF0424">
      <w:pPr>
        <w:pStyle w:val="20"/>
        <w:spacing w:after="0" w:line="360" w:lineRule="auto"/>
        <w:ind w:left="720" w:hanging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Обставини, які обтяжують покарання</w:t>
      </w:r>
    </w:p>
    <w:p w:rsidR="00C20EB3" w:rsidRDefault="00CF0424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  <w:t>1.</w:t>
      </w:r>
      <w:r>
        <w:rPr>
          <w:sz w:val="28"/>
          <w:szCs w:val="28"/>
        </w:rPr>
        <w:tab/>
        <w:t>При призначенні покарання обставинами, які його обтяжують, визнаються: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вчинення злочину особою повторно та рецидив злочинів;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вчинення злочину групою осіб за попередньою змовою (частина друга або третя статті 28);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вчинення злочину на ґрунті расової, національної чи релігійної ворожнечі або розбрату;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вчинення злочину у зв’язку з виконанням потерпілим службового або громадського обов’язку;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тяжкі наслідки, завдані злочином;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вчинення злочину щодо малолітнього, особи похилого віку або особи, що перебуває в безпорадному стані;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вчинення злочину щодо жінки, яка завідомо для винного перебувала у стані вагітності;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вчинення злочину щодо особи, яка перебуває в матеріальній, службовій чи іншій залежності від винного;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вчинення злочину з використанням малолітнього або особи, що страждає психічним захворюванням чи недоумством;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вчинення злочину з особливою жорстокістю;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вчинення злочину з використанням умов воєнного або надзвичайного стану, інших надзвичайних подій;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вчинення злочину загальнонебезпечним способом;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вчинення злочину особою, що перебуває у стані алкогольного сп’яніння або у стані, викликаному вживанням наркотичних або інших одурманюючих засобів.</w:t>
      </w:r>
    </w:p>
    <w:p w:rsidR="00C20EB3" w:rsidRDefault="00CF0424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Суд має право, залежно від характеру вчиненого злочину, не визнати будь-яку із зазначених у частині першій цієї статті обставин, за винятком обставин, зазначених у пунктах 2, 6, 7, 9, 10, 12, такою, що обтяжує покарання, навівши мотиви свого рішення у вироку.</w:t>
      </w:r>
    </w:p>
    <w:p w:rsidR="00C20EB3" w:rsidRDefault="00CF0424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 призначенні покарання суд не може визнати такими, що його обтяжують, обставини, не зазначені в частині першій цієї статті.</w:t>
      </w:r>
    </w:p>
    <w:p w:rsidR="00C20EB3" w:rsidRDefault="00CF0424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Якщо будь-яка з обставин, що обтяжує покарання, передбачена в статті Особливої частини цього Кодексу як ознака злочину, що впливає на його кваліфікацію, суд не може ще раз враховувати її при призначенні покарання як таку, що його обтяжує.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Обставини, що обтяжують покарання, — це визначені у КК фактори, які характеризують підвищений ступінь суспільної небезпеки особи винного та вчиненого ним злочину.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відміну від обставин, які пом’якшують покарання, закон (ст. 67) встановлює вичерпний перелік обставин, які обтяжують покарання. Тому суд не вправі визнавати як такі, що обтяжують покарання, обставини, які не вказані в ст. 67, і має чітко дотримуватися змісту обставин, визначених у ч. 1 ст. 67.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 поняття вчинення злочину </w:t>
      </w:r>
      <w:r>
        <w:rPr>
          <w:i/>
          <w:iCs/>
          <w:sz w:val="28"/>
          <w:szCs w:val="28"/>
        </w:rPr>
        <w:t xml:space="preserve">особою повторно та рецидив злочинів </w:t>
      </w:r>
      <w:r>
        <w:rPr>
          <w:sz w:val="28"/>
          <w:szCs w:val="28"/>
        </w:rPr>
        <w:t xml:space="preserve">див. відповідно ст. ст. 32 і 34 та коментар до них, а про поняття вчинення злочину </w:t>
      </w:r>
      <w:r>
        <w:rPr>
          <w:i/>
          <w:iCs/>
          <w:sz w:val="28"/>
          <w:szCs w:val="28"/>
        </w:rPr>
        <w:t xml:space="preserve">групою осіб за попередньою змовою — </w:t>
      </w:r>
      <w:r>
        <w:rPr>
          <w:sz w:val="28"/>
          <w:szCs w:val="28"/>
        </w:rPr>
        <w:t>ст. 28 та коментар до неї.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Про поняття расової, національної чи релігійної </w:t>
      </w:r>
      <w:r>
        <w:rPr>
          <w:i/>
          <w:iCs/>
          <w:sz w:val="28"/>
          <w:szCs w:val="28"/>
        </w:rPr>
        <w:t xml:space="preserve">ворожнечі або розбрату, </w:t>
      </w:r>
      <w:r>
        <w:rPr>
          <w:sz w:val="28"/>
          <w:szCs w:val="28"/>
        </w:rPr>
        <w:t>вчинення злочину на ґрунті яких є обставиною, що обтяжує покарання, див. коментар до ст. 161. В основі расової, національної ворожнечі або розбрату лежать антинаукові погляди про неповноцінність людей певної раси, національності, а релігійної ворожнечі або розбрату — хибні уявлення про переваги одного віросповідання над іншим чи однієї конфесії над іншою всередині одного віросповідання.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Вчинення злочину у </w:t>
      </w:r>
      <w:r>
        <w:rPr>
          <w:i/>
          <w:iCs/>
          <w:sz w:val="28"/>
          <w:szCs w:val="28"/>
        </w:rPr>
        <w:t xml:space="preserve">зв’язку з виконанням потерпілим службового або громадського обов’язку </w:t>
      </w:r>
      <w:r>
        <w:rPr>
          <w:sz w:val="28"/>
          <w:szCs w:val="28"/>
        </w:rPr>
        <w:t>означає вчинення його винним з метою перешкодити правомірній діяльності потерпілого у зв’язку з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виконанням ним свого службового або громадського обов’язку, а так само з мотиву помсти за таку діяльність незалежно від часу, що пройшов з моменту виконання потерпілим своїх обов’язків до вчинення винним злочину. Під виконанням службового обов’язку слід розуміти таку діяльність особи, що входить до кола її службових повноважень, а громадського обов’язку — здійснення спеціально покладених на особу громадських повноважень чи будь-яких інших дій в інтересах суспільства або окремих громадян (припинення правопорушення, повідомлення органам влади про злочин або готування до нього тощо). Про поняття потерпілого див. коментар до ст. 46. У тих випадках, коли злочин було спрямовано проти родичів чи близьких потерпілого у зв’язку з виконанням ним службового чи громадського обов’язку, це також визнається обставиною, що обтяжує покарання.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Під тяжкими наслідками, завданими злочином, у п. 5 ч. 1 ст. 67 розуміються ті суспільна небезпечні (майнові, фізичні, моральні та інші) зміни в об’єкті кримінально-правової охорони, які викликані вчиненням злочину, але виходять за межі його складу. Визнання наслідків вчиненого злочину тяжкими віднесено до компетенції суду, за винятком тих випадків, де вони прямо зазначені у відповідних статтях Особливої частини КК (ч, 3 ст. 188, ч. 2 ст. 423 тощо). З урахуванням конкретних обставин справи тяжкими наслідками можуть зокрема визнаватися: смерть однієї чи декількох осіб; значна шкода здоров’ю людей; майнова шкода у великому й особливо великому розмірах; масова загибель об’єктів рослинного чи тваринного світу або забруднення довкілля, технологічна чи екологічна катастрофа; істотне порушення прав людини.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Вчинення злочину </w:t>
      </w:r>
      <w:r>
        <w:rPr>
          <w:i/>
          <w:iCs/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малолітнього, особи похилого віку або особи, </w:t>
      </w:r>
      <w:r>
        <w:rPr>
          <w:i/>
          <w:iCs/>
          <w:sz w:val="28"/>
          <w:szCs w:val="28"/>
        </w:rPr>
        <w:t xml:space="preserve">що перебуває в безпорадному стані, </w:t>
      </w:r>
      <w:r>
        <w:rPr>
          <w:sz w:val="28"/>
          <w:szCs w:val="28"/>
        </w:rPr>
        <w:t>має місце тоді, коли потерпілими є лише перелічені особи.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Малолітніми вважаються особи, які не досягли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на момент вчинення злочину 14-річного віку. Під особою похилого віку розуміється чоловік віком понад 60 років і жінка віком понад 55 років. Але на можливість усвідомлення винним відповідного вікового стану особи суттєво впливають не тільки їх фактичний вік, а й зовнішній вигляд, зріст, стан здоров’я, наявність інвалідності та інші фактичні обставини.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Безпорадний стан — </w:t>
      </w:r>
      <w:r>
        <w:rPr>
          <w:sz w:val="28"/>
          <w:szCs w:val="28"/>
        </w:rPr>
        <w:t>це обумовлений об’єктивними і суб’єктивними факторами стан особи, в якому вона не може чинити опір злочинцеві або уникнути злочинного посягання. В основу розуміння даного поняття може бути покладено вироблене судовою практикою поняття безпорадного стану при зґвалтуванні — фізичний чи психологічний стан потерпілої (малолітній вік, фізичні вади, розлад душевної діяльності, хворобливий або непритомний її стан тощо), за якого вона не могла розуміти характеру і значення вчинюваних з нею дій або не могла вчинити опір насильнику.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Про поняття вагітності, а також матеріальної, службової чи іншої залежності див. коментар до ст. 66.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Вчинення злочину з використанням малолітнього або </w:t>
      </w:r>
      <w:r>
        <w:rPr>
          <w:i/>
          <w:iCs/>
          <w:sz w:val="28"/>
          <w:szCs w:val="28"/>
        </w:rPr>
        <w:t xml:space="preserve">особи, </w:t>
      </w:r>
      <w:r>
        <w:rPr>
          <w:sz w:val="28"/>
          <w:szCs w:val="28"/>
        </w:rPr>
        <w:t xml:space="preserve">яка </w:t>
      </w:r>
      <w:r>
        <w:rPr>
          <w:i/>
          <w:iCs/>
          <w:sz w:val="28"/>
          <w:szCs w:val="28"/>
        </w:rPr>
        <w:t xml:space="preserve">страждає психічним захворюванням чи недоумством, </w:t>
      </w:r>
      <w:r>
        <w:rPr>
          <w:sz w:val="28"/>
          <w:szCs w:val="28"/>
        </w:rPr>
        <w:t>передбачає використання для вчинення злочину двох видів осіб — малолітніх і осіб, які страждають на психічні захворювання чи недоумство. Використання таких осіб для вчинення злочину здійснюється з прямим умислом. Про поняття осіб, які страждають психічним захворюванням чи недоумством, див. коментар до ст. 19.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Втягнений неповнолітніх, у т. ч. малолітніх, у злочинну діяльність у ряді випадків утворює самостійний склад злочину (наприклад, ч. З ст. 303, ст. 304).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Вчинення </w:t>
      </w:r>
      <w:r>
        <w:rPr>
          <w:i/>
          <w:iCs/>
          <w:sz w:val="28"/>
          <w:szCs w:val="28"/>
        </w:rPr>
        <w:t xml:space="preserve">злочину з особливою жорстокістю </w:t>
      </w:r>
      <w:r>
        <w:rPr>
          <w:sz w:val="28"/>
          <w:szCs w:val="28"/>
        </w:rPr>
        <w:t>передбачає прояв При вчиненні злочину безжалісності, безсердечності до потерпілого, що свідчить про підвищену суспільну небезпеку вчиненого та особи злочинця. Особлива жорстокість належить до числа оціночних понять. Судова практика виходить з того, що особлива жорстокість при вчиненні злочинів проти життя і здоров’я може проявлятися в завданні потерпілому особливих страждань шляхом глум-ління, тортур, мордування, мучення, в т.ч. з використанням вогню, струму, кислоти, лугу, радіоактивних речовин, -отрути, яка завдає нестерпного болю, заподіяння великої кількості тілесних ушкоджень, які завідомо для винного завдавали потерпілому особливих страждань, глумління над трупом. Діяння, що є проявом особливої жорстокості, завжди вчиняються з прямим умислом при завданні потерпілому фізичних і моральних страждань. Вони можуть бути спрямовані не лише щодо потерпілого, а й щодо інших, близьких потерпілому осіб, Коли винний усвідомлював, що, вчиняючи такі діяння, він спричинює йому особливі страждання.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Про поняття воєнного сягону див. коментар до ст. 111. </w:t>
      </w:r>
      <w:r>
        <w:rPr>
          <w:i/>
          <w:iCs/>
          <w:sz w:val="28"/>
          <w:szCs w:val="28"/>
        </w:rPr>
        <w:t xml:space="preserve">Надзвичайний стан — </w:t>
      </w:r>
      <w:r>
        <w:rPr>
          <w:sz w:val="28"/>
          <w:szCs w:val="28"/>
        </w:rPr>
        <w:t xml:space="preserve">це особливий правовий режим, який може тимчасово запроваджуватися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рівня, що призвели чи можуть призвести до людських і матеріальних витрат, створюють загрозу життю і здоров’ю громадян, або при спробі захоплення державної влади чи зміни конституційного ладу України шляхом насильства. До числа </w:t>
      </w:r>
      <w:r>
        <w:rPr>
          <w:i/>
          <w:iCs/>
          <w:sz w:val="28"/>
          <w:szCs w:val="28"/>
        </w:rPr>
        <w:t xml:space="preserve">інших надзвичайних подій </w:t>
      </w:r>
      <w:r>
        <w:rPr>
          <w:sz w:val="28"/>
          <w:szCs w:val="28"/>
        </w:rPr>
        <w:t>слід зокрема відносити повінь, землетрус, пожежу, зсув, обвал, інші події стихійного характеру, епідемію, епізоотію, епіфітотію, аварію, техногенну чи екологічну катастрофу, масові заворушення тощо.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Під вчиненням злочину загальнонеб”езпечніш </w:t>
      </w:r>
      <w:r>
        <w:rPr>
          <w:i/>
          <w:iCs/>
          <w:sz w:val="28"/>
          <w:szCs w:val="28"/>
        </w:rPr>
        <w:t xml:space="preserve">способом, </w:t>
      </w:r>
      <w:r>
        <w:rPr>
          <w:sz w:val="28"/>
          <w:szCs w:val="28"/>
        </w:rPr>
        <w:t>розуміється вчинення його, зокрема, такими способами, як; вибух, підпал, зараження чи отруєння водойм, затоплення, використання автоматичних пристроїв, електричного струму, газу тощо. Вчинення злочину загальнонебезпечним способом підвищує суспільну небезпечність вчинюваного злочину і особи злочинця, оскільки при цьому виникає загроза для багатьох об’єктів кримінально-правової охорони і настання тяжких наслідків.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Про поняття алкогольного сп’яніння, вживання наркотичних або інших одурманюючих засобів див. коментар до ст. ст. 21, 305, 315, 316, 322.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Обов’язковою умовою застосування перелічених обставин при призначенні покарання є те, що вони могли бути і повинні були усвідомлюватися винним.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Суд не може ще раз враховувати як обтяжуючу покарання обставину, що визначена у відповідній статті Особливої частини КК як ознака злочину, за вчинення якого призначається покарання (ч. 4 ст. 67). Наприклад, не можуть бути враховані як обтяжуючі при кваліфікації відповідних злочинів такі обставини, як: вчинення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злочину на ґрунті расової, національної чи релігійної ворожнечі чи розбрату — при кваліфікації за ч. 2 ст. 110 і ст. 161; вчинення злочину у зв’язку з виконанням потерпілим службового або громадського обов’язку — при кваліфікації за ст. 112, п. 8 ст. 115, ст. 345 та ін  тяжкі наслідки, завдані злочином, — при кваліфікації за ч. 2 ст. 169, ч. З ст. 204, ч. 2 ст. 238, ст. 247, ч. 2 ст. 347, ч. З ст. 424; вчинення злочину щодо особи, яка перебуває в безпорадному стані — при кваліфікації за ст. ст. 135, 152, 153; вчинення злочину з особливою жорстокістю — при кваліфікації за ст. ст. 126 і 127; вчинення злочину з використанням умов воєнного або надзвичайного стану, інших надзвичайних подій — при кваліфікації за ч. 1 ст. 111, ч. 2 ст. 238, ч. З ст. 402; вчинення злочину загальнонебезпечним способом — при кваліфікації за п. 5 ч. 2 ст. 115, ч. 2 ст. 194 тощо.</w:t>
      </w:r>
    </w:p>
    <w:p w:rsidR="00C20EB3" w:rsidRDefault="00CF0424">
      <w:pPr>
        <w:pStyle w:val="2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Закон (ч. 2 ст. 67) надає суду право, залежно від характеру вчиненого злочину, навівши мотиви свого рішення у вироку, не визнавати ряд з перерахованих в цій статті обставин такими, що обтяжують покарання. Це правило не поширюється на такі обставини, як вчинення злочину: групою осіб за попередньою змовою; щодо малолітнього, особи похилого віку або особи, що перебуває в безпорадному стані; щодо жінки, яка завідомо для винного перебувала в стані вагітності; з використанням малолітнього або особи, що страждає психічним захворюванням чи недоумством; з особливою жорстокістю; загальнонебезпечним способом.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“Про основні засади соціального захисту ветеранів праці та інших громадян похилого віку в Україні”від Ібгрудня 1993р. (ст. 10). Закон України “Про оборону України  в редакції від 5 жовтня 2000 р. Закон України “Про правовий режим надзвичайного стану   від 16 березня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“Про правовий режим воєнного стану” від 6 квітня 2000 р.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ПВС № 12 від 25 грудня 1992 р. Про судову практику в справах про корисливі злочини проти приватної власності (п. 28).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ПВС №4 від 27 березня 1992 р. Про судову практику в справах про зґвалтування та інші статеві злочини (п. 9).</w:t>
      </w:r>
    </w:p>
    <w:p w:rsidR="00C20EB3" w:rsidRDefault="00CF0424">
      <w:pPr>
        <w:pStyle w:val="2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ПВС № 1 від 1 квітня 1994 р. Про судову практику в справах про злочини проти життя І здоров’я людини” (п. п. 10, 13, 14).</w:t>
      </w:r>
    </w:p>
    <w:p w:rsidR="00C20EB3" w:rsidRDefault="00C20EB3">
      <w:bookmarkStart w:id="0" w:name="_GoBack"/>
      <w:bookmarkEnd w:id="0"/>
    </w:p>
    <w:sectPr w:rsidR="00C20EB3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424"/>
    <w:rsid w:val="00B20BBD"/>
    <w:rsid w:val="00C20EB3"/>
    <w:rsid w:val="00C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16BD-A1EB-4DFE-BD8F-8170BB9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widowControl w:val="0"/>
      <w:autoSpaceDE w:val="0"/>
      <w:autoSpaceDN w:val="0"/>
      <w:adjustRightInd w:val="0"/>
      <w:ind w:left="283" w:hanging="283"/>
    </w:pPr>
    <w:rPr>
      <w:sz w:val="20"/>
      <w:szCs w:val="20"/>
      <w:lang w:val="uk-UA" w:eastAsia="uk-UA"/>
    </w:rPr>
  </w:style>
  <w:style w:type="paragraph" w:styleId="2">
    <w:name w:val="List 2"/>
    <w:basedOn w:val="a"/>
    <w:semiHidden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uk-UA" w:eastAsia="uk-UA"/>
    </w:rPr>
  </w:style>
  <w:style w:type="paragraph" w:styleId="20">
    <w:name w:val="List Continue 2"/>
    <w:basedOn w:val="a"/>
    <w:semiHidden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11723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2014-06-22T21:08:00Z</dcterms:created>
  <dcterms:modified xsi:type="dcterms:W3CDTF">2014-06-22T21:08:00Z</dcterms:modified>
  <cp:category>Право. Міжнародні відносини</cp:category>
</cp:coreProperties>
</file>