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C1" w:rsidRDefault="00E65AC1">
      <w:pPr>
        <w:pStyle w:val="1"/>
        <w:spacing w:line="360" w:lineRule="auto"/>
        <w:ind w:left="40" w:firstLine="400"/>
        <w:jc w:val="left"/>
        <w:rPr>
          <w:rFonts w:ascii="Arial" w:hAnsi="Arial" w:cs="Arial"/>
          <w:sz w:val="52"/>
        </w:rPr>
      </w:pPr>
    </w:p>
    <w:p w:rsidR="00E65AC1" w:rsidRDefault="00E65AC1">
      <w:pPr>
        <w:pStyle w:val="FR2"/>
        <w:spacing w:line="360" w:lineRule="auto"/>
        <w:ind w:left="80" w:firstLine="0"/>
        <w:jc w:val="center"/>
        <w:rPr>
          <w:rFonts w:cs="Arial"/>
          <w:b/>
          <w:noProof/>
          <w:sz w:val="66"/>
        </w:rPr>
      </w:pPr>
    </w:p>
    <w:p w:rsidR="00E65AC1" w:rsidRDefault="00E65AC1">
      <w:pPr>
        <w:pStyle w:val="FR2"/>
        <w:spacing w:line="360" w:lineRule="auto"/>
        <w:ind w:left="80" w:firstLine="0"/>
        <w:jc w:val="center"/>
        <w:rPr>
          <w:rFonts w:cs="Arial"/>
          <w:b/>
          <w:noProof/>
          <w:sz w:val="66"/>
        </w:rPr>
      </w:pPr>
    </w:p>
    <w:p w:rsidR="00E65AC1" w:rsidRDefault="00E65AC1">
      <w:pPr>
        <w:pStyle w:val="FR2"/>
        <w:spacing w:line="360" w:lineRule="auto"/>
        <w:ind w:left="80" w:firstLine="0"/>
        <w:jc w:val="center"/>
        <w:rPr>
          <w:rFonts w:cs="Arial"/>
          <w:b/>
          <w:noProof/>
          <w:sz w:val="66"/>
        </w:rPr>
      </w:pPr>
    </w:p>
    <w:p w:rsidR="00E65AC1" w:rsidRDefault="005C3631">
      <w:pPr>
        <w:pStyle w:val="FR2"/>
        <w:spacing w:line="360" w:lineRule="auto"/>
        <w:ind w:left="80" w:firstLine="0"/>
        <w:jc w:val="center"/>
        <w:rPr>
          <w:rFonts w:cs="Arial"/>
          <w:b/>
          <w:noProof/>
          <w:sz w:val="66"/>
        </w:rPr>
      </w:pPr>
      <w:r>
        <w:rPr>
          <w:rFonts w:cs="Arial"/>
          <w:b/>
          <w:noProof/>
          <w:sz w:val="66"/>
        </w:rPr>
        <w:t xml:space="preserve">Реферат </w:t>
      </w:r>
    </w:p>
    <w:p w:rsidR="00E65AC1" w:rsidRDefault="005C3631">
      <w:pPr>
        <w:pStyle w:val="FR2"/>
        <w:spacing w:line="360" w:lineRule="auto"/>
        <w:ind w:left="80" w:firstLine="0"/>
        <w:jc w:val="center"/>
        <w:rPr>
          <w:rFonts w:cs="Arial"/>
          <w:b/>
          <w:noProof/>
          <w:sz w:val="52"/>
        </w:rPr>
      </w:pPr>
      <w:r>
        <w:rPr>
          <w:rFonts w:cs="Arial"/>
          <w:b/>
          <w:noProof/>
          <w:sz w:val="52"/>
        </w:rPr>
        <w:t>на тему:</w:t>
      </w:r>
    </w:p>
    <w:p w:rsidR="00E65AC1" w:rsidRDefault="005C3631">
      <w:pPr>
        <w:pStyle w:val="FR2"/>
        <w:spacing w:line="360" w:lineRule="auto"/>
        <w:ind w:left="80" w:firstLine="0"/>
        <w:jc w:val="center"/>
        <w:rPr>
          <w:rFonts w:cs="Arial"/>
          <w:b/>
          <w:i/>
          <w:iCs/>
          <w:shadow/>
          <w:noProof/>
          <w:sz w:val="52"/>
        </w:rPr>
      </w:pPr>
      <w:r>
        <w:rPr>
          <w:rFonts w:cs="Arial"/>
          <w:b/>
          <w:i/>
          <w:iCs/>
          <w:shadow/>
          <w:noProof/>
          <w:sz w:val="52"/>
        </w:rPr>
        <w:t>Необхідність та сутність</w:t>
      </w:r>
    </w:p>
    <w:p w:rsidR="00E65AC1" w:rsidRDefault="005C3631">
      <w:pPr>
        <w:pStyle w:val="FR2"/>
        <w:spacing w:line="360" w:lineRule="auto"/>
        <w:ind w:left="80" w:firstLine="0"/>
        <w:jc w:val="center"/>
        <w:rPr>
          <w:rFonts w:cs="Arial"/>
          <w:i/>
          <w:iCs/>
          <w:shadow/>
          <w:sz w:val="52"/>
        </w:rPr>
      </w:pPr>
      <w:r>
        <w:rPr>
          <w:rFonts w:cs="Arial"/>
          <w:b/>
          <w:i/>
          <w:iCs/>
          <w:shadow/>
          <w:noProof/>
          <w:sz w:val="52"/>
        </w:rPr>
        <w:t xml:space="preserve"> і склад позабюджетних фондів України</w:t>
      </w:r>
    </w:p>
    <w:p w:rsidR="00E65AC1" w:rsidRDefault="005C3631">
      <w:pPr>
        <w:pStyle w:val="1"/>
        <w:spacing w:before="80" w:line="360" w:lineRule="auto"/>
        <w:ind w:firstLine="1040"/>
        <w:rPr>
          <w:rFonts w:ascii="Arial" w:hAnsi="Arial" w:cs="Arial"/>
          <w:sz w:val="28"/>
        </w:rPr>
      </w:pPr>
      <w:r>
        <w:rPr>
          <w:rFonts w:ascii="Arial" w:hAnsi="Arial" w:cs="Arial"/>
          <w:sz w:val="52"/>
        </w:rPr>
        <w:br w:type="page"/>
      </w:r>
      <w:r>
        <w:rPr>
          <w:rFonts w:ascii="Arial" w:hAnsi="Arial" w:cs="Arial"/>
          <w:sz w:val="28"/>
        </w:rPr>
        <w:t>Позабюджетний Національний фонд соціального захисту матерів і дітей "Україна—дітям" (далі</w:t>
      </w:r>
      <w:r>
        <w:rPr>
          <w:rFonts w:ascii="Arial" w:hAnsi="Arial" w:cs="Arial"/>
          <w:noProof/>
          <w:sz w:val="28"/>
        </w:rPr>
        <w:t xml:space="preserve"> — </w:t>
      </w:r>
      <w:r>
        <w:rPr>
          <w:rFonts w:ascii="Arial" w:hAnsi="Arial" w:cs="Arial"/>
          <w:sz w:val="28"/>
        </w:rPr>
        <w:t>Фонд) створений у листопаді</w:t>
      </w:r>
      <w:r>
        <w:rPr>
          <w:rFonts w:ascii="Arial" w:hAnsi="Arial" w:cs="Arial"/>
          <w:noProof/>
          <w:sz w:val="28"/>
        </w:rPr>
        <w:t xml:space="preserve"> 1996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p</w:t>
      </w:r>
      <w:r>
        <w:rPr>
          <w:rFonts w:ascii="Arial" w:hAnsi="Arial" w:cs="Arial"/>
          <w:sz w:val="28"/>
        </w:rPr>
        <w:t>. з метою поліпшення соціального захисту інтересів дітей, матерів та сім'ї, забезпечення гармонійного розвитку підростаючого покоління, підвищення ефективності заходів, передбачених національними програмами з питань материнства і дитинства та залучення для цього недержавних джерел</w:t>
      </w:r>
      <w:r>
        <w:rPr>
          <w:rFonts w:ascii="Arial" w:hAnsi="Arial" w:cs="Arial"/>
          <w:sz w:val="28"/>
        </w:rPr>
        <w:br/>
        <w:t>фінансування, тобто позабюджетних коштів.</w:t>
      </w:r>
    </w:p>
    <w:p w:rsidR="00E65AC1" w:rsidRDefault="005C3631">
      <w:pPr>
        <w:pStyle w:val="1"/>
        <w:spacing w:before="80" w:line="360" w:lineRule="auto"/>
        <w:ind w:firstLine="104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Позабюджетний фонд створений Президентом України Л. Д. Кучмою на виконання Національної Програми "Діти України", яка є довгостроковим Державним документом, спрямованим на поліпшення всіх сторін життя дітей в нашій незалежній державі. У межах Національної програми "Діти України" введена в дію українська дитяча спеціалізована лікарня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унікальний заклад по наданню найвищого рівня спеціалізованої медичної допомоги, яка ще не надається в інших лікарнях нашої держави.</w:t>
      </w:r>
    </w:p>
    <w:p w:rsidR="00E65AC1" w:rsidRDefault="005C3631">
      <w:pPr>
        <w:pStyle w:val="1"/>
        <w:spacing w:line="360" w:lineRule="auto"/>
        <w:ind w:firstLine="4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Мета створення фонду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поліпшення соціального</w:t>
      </w:r>
      <w:r>
        <w:rPr>
          <w:rFonts w:ascii="Arial" w:hAnsi="Arial" w:cs="Arial"/>
          <w:sz w:val="28"/>
        </w:rPr>
        <w:br/>
        <w:t>захисту інтересів дітей, матерів та сім'ї, забезпечення</w:t>
      </w:r>
      <w:r>
        <w:rPr>
          <w:rFonts w:ascii="Arial" w:hAnsi="Arial" w:cs="Arial"/>
          <w:sz w:val="28"/>
        </w:rPr>
        <w:br/>
        <w:t>гармонійного розвитку підростаючого покоління, підвищення ефективності заходів, передбачених національною програмою з питань материнства і дитинства.</w:t>
      </w:r>
    </w:p>
    <w:p w:rsidR="00E65AC1" w:rsidRDefault="005C3631">
      <w:pPr>
        <w:pStyle w:val="1"/>
        <w:spacing w:line="360" w:lineRule="auto"/>
        <w:ind w:firstLine="4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Фонд створено для реалізації в Україні положень</w:t>
      </w:r>
      <w:r>
        <w:rPr>
          <w:rFonts w:ascii="Arial" w:hAnsi="Arial" w:cs="Arial"/>
          <w:sz w:val="28"/>
        </w:rPr>
        <w:br/>
        <w:t>Конвенції</w:t>
      </w:r>
      <w:r>
        <w:rPr>
          <w:rFonts w:ascii="Arial" w:hAnsi="Arial" w:cs="Arial"/>
          <w:sz w:val="28"/>
          <w:lang w:val="ru-RU"/>
        </w:rPr>
        <w:t xml:space="preserve"> ООН про</w:t>
      </w:r>
      <w:r>
        <w:rPr>
          <w:rFonts w:ascii="Arial" w:hAnsi="Arial" w:cs="Arial"/>
          <w:sz w:val="28"/>
        </w:rPr>
        <w:t xml:space="preserve"> права дитини, в якій визначено</w:t>
      </w:r>
      <w:r>
        <w:rPr>
          <w:rFonts w:ascii="Arial" w:hAnsi="Arial" w:cs="Arial"/>
          <w:sz w:val="28"/>
        </w:rPr>
        <w:br/>
        <w:t>право на використання найбільш досконалих систем</w:t>
      </w:r>
      <w:r>
        <w:rPr>
          <w:rFonts w:ascii="Arial" w:hAnsi="Arial" w:cs="Arial"/>
          <w:sz w:val="28"/>
        </w:rPr>
        <w:br/>
        <w:t>охорони здоров'я, щоб жодна дитина в державі не була</w:t>
      </w:r>
      <w:r>
        <w:rPr>
          <w:rFonts w:ascii="Arial" w:hAnsi="Arial" w:cs="Arial"/>
          <w:sz w:val="28"/>
        </w:rPr>
        <w:br/>
        <w:t>позбавлена в разі потреби доступу до повноцінної медичної допомоги.</w:t>
      </w:r>
    </w:p>
    <w:p w:rsidR="00E65AC1" w:rsidRDefault="005C3631">
      <w:pPr>
        <w:pStyle w:val="1"/>
        <w:spacing w:line="360" w:lineRule="auto"/>
        <w:ind w:firstLine="4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Фондом надається пріоритет дітям, що опинилися в</w:t>
      </w:r>
      <w:r>
        <w:rPr>
          <w:rFonts w:ascii="Arial" w:hAnsi="Arial" w:cs="Arial"/>
          <w:sz w:val="28"/>
        </w:rPr>
        <w:br/>
        <w:t>особливо тяжких умовах (діти-сироти, діти-інваліди, постраждалі від аварії на ЧАЕС), тобто єдиний критерій</w:t>
      </w:r>
      <w:r>
        <w:rPr>
          <w:rFonts w:ascii="Arial" w:hAnsi="Arial" w:cs="Arial"/>
          <w:sz w:val="28"/>
        </w:rPr>
        <w:br/>
        <w:t>його діяльності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пріоритет дітям.</w:t>
      </w:r>
    </w:p>
    <w:p w:rsidR="00E65AC1" w:rsidRDefault="005C3631">
      <w:pPr>
        <w:pStyle w:val="1"/>
        <w:spacing w:line="360" w:lineRule="auto"/>
        <w:ind w:firstLine="4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Створення позабюджетного Фонду викликане значним дефіцитом коштів у бюджетах всіх рівнів, а тому</w:t>
      </w:r>
      <w:r>
        <w:rPr>
          <w:rFonts w:ascii="Arial" w:hAnsi="Arial" w:cs="Arial"/>
          <w:sz w:val="28"/>
        </w:rPr>
        <w:br/>
        <w:t>Фондом залучаються для розв'язання найнагальніших</w:t>
      </w:r>
      <w:r>
        <w:rPr>
          <w:rFonts w:ascii="Arial" w:hAnsi="Arial" w:cs="Arial"/>
          <w:sz w:val="28"/>
        </w:rPr>
        <w:br/>
        <w:t>проблем охорони материнства і дитинства позабюджетні</w:t>
      </w:r>
      <w:r>
        <w:rPr>
          <w:rFonts w:ascii="Arial" w:hAnsi="Arial" w:cs="Arial"/>
          <w:sz w:val="28"/>
        </w:rPr>
        <w:br/>
        <w:t>джерела фінансування, тобто підприємств, об'єднань і</w:t>
      </w:r>
      <w:r>
        <w:rPr>
          <w:rFonts w:ascii="Arial" w:hAnsi="Arial" w:cs="Arial"/>
          <w:sz w:val="28"/>
        </w:rPr>
        <w:br/>
        <w:t>організацій усіх форм власності та фізичних осіб.</w:t>
      </w:r>
    </w:p>
    <w:p w:rsidR="00E65AC1" w:rsidRDefault="005C3631">
      <w:pPr>
        <w:pStyle w:val="1"/>
        <w:spacing w:line="360" w:lineRule="auto"/>
        <w:ind w:firstLine="4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Перехід до ринкових відносин викликав різку</w:t>
      </w:r>
      <w:r>
        <w:rPr>
          <w:rFonts w:ascii="Arial" w:hAnsi="Arial" w:cs="Arial"/>
          <w:sz w:val="28"/>
        </w:rPr>
        <w:br/>
        <w:t>зміну доходів бюджету і позабюджетних доходів.</w:t>
      </w:r>
      <w:r>
        <w:rPr>
          <w:rFonts w:ascii="Arial" w:hAnsi="Arial" w:cs="Arial"/>
          <w:sz w:val="28"/>
        </w:rPr>
        <w:br/>
        <w:t>Свідченням цього є утворення різних централізованих</w:t>
      </w:r>
      <w:r>
        <w:rPr>
          <w:rFonts w:ascii="Arial" w:hAnsi="Arial" w:cs="Arial"/>
          <w:sz w:val="28"/>
        </w:rPr>
        <w:br/>
        <w:t>позабюджетних фондів: пенсійного, зайнятості, соціального страхування, Чорнобильського тощо, які є споживачами коштів бюджету, їхня діяльність врегульована законодавством та іншими нормативними документами, але їхньою доходною базою є господарська діяльність підприємств та організацій усіх форм власності.</w:t>
      </w:r>
    </w:p>
    <w:p w:rsidR="00E65AC1" w:rsidRDefault="005C3631">
      <w:pPr>
        <w:pStyle w:val="1"/>
        <w:spacing w:line="360" w:lineRule="auto"/>
        <w:ind w:firstLine="4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ru-RU"/>
        </w:rPr>
        <w:t>При</w:t>
      </w:r>
      <w:r>
        <w:rPr>
          <w:rFonts w:ascii="Arial" w:hAnsi="Arial" w:cs="Arial"/>
          <w:sz w:val="28"/>
        </w:rPr>
        <w:t xml:space="preserve"> дефіциті бюджету не обійтися без залучення</w:t>
      </w:r>
      <w:r>
        <w:rPr>
          <w:rFonts w:ascii="Arial" w:hAnsi="Arial" w:cs="Arial"/>
          <w:sz w:val="28"/>
        </w:rPr>
        <w:br/>
        <w:t>коштів підприємств для потреб міст і селищ. У зв'язку з</w:t>
      </w:r>
      <w:r>
        <w:rPr>
          <w:rFonts w:ascii="Arial" w:hAnsi="Arial" w:cs="Arial"/>
          <w:sz w:val="28"/>
        </w:rPr>
        <w:br/>
        <w:t>цим органи місцевого самоврядування формують позабюджетні і цільові фонди, які, поряд з іншими, залучають кошти фондів соціального розвитку підприємств, об'єднань, організацій та установ пропорційно кількості робітників і службовців, що постійно проживають умістах, селищах, селах, для розвитку їх житлово-</w:t>
      </w:r>
      <w:r>
        <w:rPr>
          <w:rFonts w:ascii="Arial" w:hAnsi="Arial" w:cs="Arial"/>
          <w:sz w:val="28"/>
        </w:rPr>
        <w:br/>
        <w:t>комунального господарства. На практиці формування</w:t>
      </w:r>
      <w:r>
        <w:rPr>
          <w:rFonts w:ascii="Arial" w:hAnsi="Arial" w:cs="Arial"/>
          <w:sz w:val="28"/>
        </w:rPr>
        <w:br/>
        <w:t>коштів породжує суперечності між підприємствами і ви-</w:t>
      </w:r>
      <w:r>
        <w:rPr>
          <w:rFonts w:ascii="Arial" w:hAnsi="Arial" w:cs="Arial"/>
          <w:sz w:val="28"/>
        </w:rPr>
        <w:br/>
        <w:t>конкомами з приводу обсягів відрахувань, оскільки ме-</w:t>
      </w:r>
      <w:r>
        <w:rPr>
          <w:rFonts w:ascii="Arial" w:hAnsi="Arial" w:cs="Arial"/>
          <w:sz w:val="28"/>
        </w:rPr>
        <w:br/>
        <w:t>ханізм розрахунків залишається невизначеним.</w:t>
      </w:r>
    </w:p>
    <w:p w:rsidR="00E65AC1" w:rsidRDefault="005C3631">
      <w:pPr>
        <w:pStyle w:val="1"/>
        <w:spacing w:line="360" w:lineRule="auto"/>
        <w:ind w:firstLine="3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умовах дефіциту бюджету органи влади і управлін-</w:t>
      </w:r>
      <w:r>
        <w:rPr>
          <w:rFonts w:ascii="Arial" w:hAnsi="Arial" w:cs="Arial"/>
          <w:sz w:val="28"/>
        </w:rPr>
        <w:br/>
        <w:t>ня залучають кошти підприємств для будівництва житла,</w:t>
      </w:r>
      <w:r>
        <w:rPr>
          <w:rFonts w:ascii="Arial" w:hAnsi="Arial" w:cs="Arial"/>
          <w:sz w:val="28"/>
        </w:rPr>
        <w:br/>
        <w:t>об'єктів соцкультпобуту тощо. На наш погляд, вирішен-</w:t>
      </w:r>
      <w:r>
        <w:rPr>
          <w:rFonts w:ascii="Arial" w:hAnsi="Arial" w:cs="Arial"/>
          <w:sz w:val="28"/>
        </w:rPr>
        <w:br/>
        <w:t>ня цієї проблеми залежить від: визначення суми коштів,</w:t>
      </w:r>
      <w:r>
        <w:rPr>
          <w:rFonts w:ascii="Arial" w:hAnsi="Arial" w:cs="Arial"/>
          <w:sz w:val="28"/>
        </w:rPr>
        <w:br/>
        <w:t>необхідних на ці цілі,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С; наявності бюджетних</w:t>
      </w:r>
      <w:r>
        <w:rPr>
          <w:rFonts w:ascii="Arial" w:hAnsi="Arial" w:cs="Arial"/>
          <w:sz w:val="28"/>
        </w:rPr>
        <w:br/>
        <w:t>коштів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Б; коштів, яких не вистачає,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Н; питомої</w:t>
      </w:r>
      <w:r>
        <w:rPr>
          <w:rFonts w:ascii="Arial" w:hAnsi="Arial" w:cs="Arial"/>
          <w:sz w:val="28"/>
        </w:rPr>
        <w:br/>
        <w:t>ваги робітників і службовців даного підприємства у за-</w:t>
      </w:r>
      <w:r>
        <w:rPr>
          <w:rFonts w:ascii="Arial" w:hAnsi="Arial" w:cs="Arial"/>
          <w:sz w:val="28"/>
        </w:rPr>
        <w:br/>
        <w:t>гальній кількості жителів міста, селища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У. Тоді визна-</w:t>
      </w:r>
      <w:r>
        <w:rPr>
          <w:rFonts w:ascii="Arial" w:hAnsi="Arial" w:cs="Arial"/>
          <w:sz w:val="28"/>
        </w:rPr>
        <w:br/>
        <w:t>чити суму коштів, необхідну для внесення до позабюд-</w:t>
      </w:r>
      <w:r>
        <w:rPr>
          <w:rFonts w:ascii="Arial" w:hAnsi="Arial" w:cs="Arial"/>
          <w:sz w:val="28"/>
        </w:rPr>
        <w:br/>
        <w:t>жетного фонду підприємством чи організацією, можна</w:t>
      </w:r>
      <w:r>
        <w:rPr>
          <w:rFonts w:ascii="Arial" w:hAnsi="Arial" w:cs="Arial"/>
          <w:sz w:val="28"/>
        </w:rPr>
        <w:br/>
        <w:t>за такою формулою:</w:t>
      </w:r>
    </w:p>
    <w:p w:rsidR="00E65AC1" w:rsidRDefault="005C3631">
      <w:pPr>
        <w:pStyle w:val="1"/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24"/>
          <w:sz w:val="28"/>
        </w:rPr>
        <w:object w:dxaOrig="2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0.75pt" o:ole="" fillcolor="window">
            <v:imagedata r:id="rId5" o:title=""/>
          </v:shape>
          <o:OLEObject Type="Embed" ProgID="Equation.3" ShapeID="_x0000_i1025" DrawAspect="Content" ObjectID="_1461300068" r:id="rId6"/>
        </w:object>
      </w:r>
    </w:p>
    <w:p w:rsidR="00E65AC1" w:rsidRDefault="005C3631">
      <w:pPr>
        <w:pStyle w:val="1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 розробці програми, наприклад благоустрою</w:t>
      </w:r>
      <w:r>
        <w:rPr>
          <w:rFonts w:ascii="Arial" w:hAnsi="Arial" w:cs="Arial"/>
          <w:sz w:val="28"/>
        </w:rPr>
        <w:br/>
        <w:t>міста, без залучення бюджетних коштів формула матиме</w:t>
      </w:r>
      <w:r>
        <w:rPr>
          <w:rFonts w:ascii="Arial" w:hAnsi="Arial" w:cs="Arial"/>
          <w:sz w:val="28"/>
        </w:rPr>
        <w:br/>
        <w:t>вигляд:</w:t>
      </w:r>
    </w:p>
    <w:p w:rsidR="00E65AC1" w:rsidRDefault="005C3631">
      <w:pPr>
        <w:pStyle w:val="1"/>
        <w:spacing w:line="360" w:lineRule="auto"/>
        <w:ind w:left="80" w:firstLine="34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position w:val="-24"/>
          <w:sz w:val="28"/>
        </w:rPr>
        <w:object w:dxaOrig="1120" w:dyaOrig="620">
          <v:shape id="_x0000_i1026" type="#_x0000_t75" style="width:56.25pt;height:30.75pt" o:ole="" fillcolor="window">
            <v:imagedata r:id="rId7" o:title=""/>
          </v:shape>
          <o:OLEObject Type="Embed" ProgID="Equation.3" ShapeID="_x0000_i1026" DrawAspect="Content" ObjectID="_1461300069" r:id="rId8"/>
        </w:object>
      </w:r>
    </w:p>
    <w:p w:rsidR="00E65AC1" w:rsidRDefault="005C3631">
      <w:pPr>
        <w:pStyle w:val="1"/>
        <w:spacing w:line="360" w:lineRule="auto"/>
        <w:ind w:left="80" w:firstLine="34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умовах кризових явищ підхід до формування позабюджетних коштів в рахунок дольової участі підприємства у благоустрої чи будівництві приміщень соціально-культурних установ або житла є</w:t>
      </w:r>
      <w:r>
        <w:rPr>
          <w:rFonts w:ascii="Arial" w:hAnsi="Arial" w:cs="Arial"/>
          <w:sz w:val="28"/>
        </w:rPr>
        <w:br/>
        <w:t>найперспективнішим. При стабілізації економіки формування позабюджетних коштів можна провадити</w:t>
      </w:r>
      <w:r>
        <w:rPr>
          <w:rFonts w:ascii="Arial" w:hAnsi="Arial" w:cs="Arial"/>
          <w:noProof/>
          <w:sz w:val="28"/>
        </w:rPr>
        <w:t xml:space="preserve"> і </w:t>
      </w:r>
      <w:r>
        <w:rPr>
          <w:rFonts w:ascii="Arial" w:hAnsi="Arial" w:cs="Arial"/>
          <w:sz w:val="28"/>
        </w:rPr>
        <w:t>від чисельності робітників, що примусить підприємства вишукувати резерви підвищення рентабельності.</w:t>
      </w:r>
    </w:p>
    <w:p w:rsidR="00E65AC1" w:rsidRDefault="005C3631">
      <w:pPr>
        <w:pStyle w:val="1"/>
        <w:spacing w:line="360" w:lineRule="auto"/>
        <w:ind w:left="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Практика роботи рад показує, що формування позабюджетних коштів провадиться за рахунок:</w:t>
      </w:r>
    </w:p>
    <w:p w:rsidR="00E65AC1" w:rsidRDefault="005C3631">
      <w:pPr>
        <w:pStyle w:val="1"/>
        <w:spacing w:line="360" w:lineRule="auto"/>
        <w:ind w:left="120" w:firstLine="3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залучення коштів населення (будівництво водо-</w:t>
      </w:r>
      <w:r>
        <w:rPr>
          <w:rFonts w:ascii="Arial" w:hAnsi="Arial" w:cs="Arial"/>
          <w:sz w:val="28"/>
        </w:rPr>
        <w:br/>
        <w:t>провідних та газових мереж), добровільних внесків і по-</w:t>
      </w:r>
      <w:r>
        <w:rPr>
          <w:rFonts w:ascii="Arial" w:hAnsi="Arial" w:cs="Arial"/>
          <w:sz w:val="28"/>
        </w:rPr>
        <w:br/>
        <w:t>жертвувань;</w:t>
      </w:r>
    </w:p>
    <w:p w:rsidR="00E65AC1" w:rsidRDefault="005C3631">
      <w:pPr>
        <w:pStyle w:val="1"/>
        <w:spacing w:line="360" w:lineRule="auto"/>
        <w:ind w:left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доходів від місцевих позик, грошово-речових лоте-</w:t>
      </w:r>
      <w:r>
        <w:rPr>
          <w:rFonts w:ascii="Arial" w:hAnsi="Arial" w:cs="Arial"/>
          <w:sz w:val="28"/>
        </w:rPr>
        <w:br/>
        <w:t>рей та аукціонів;</w:t>
      </w:r>
    </w:p>
    <w:p w:rsidR="00E65AC1" w:rsidRDefault="005C3631">
      <w:pPr>
        <w:pStyle w:val="1"/>
        <w:spacing w:line="360" w:lineRule="auto"/>
        <w:ind w:left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плати за реєстрацію і перереєстрацію підприємств</w:t>
      </w:r>
      <w:r>
        <w:rPr>
          <w:rFonts w:ascii="Arial" w:hAnsi="Arial" w:cs="Arial"/>
          <w:sz w:val="28"/>
        </w:rPr>
        <w:br/>
        <w:t>усіх форм власності тощо;</w:t>
      </w:r>
    </w:p>
    <w:p w:rsidR="00E65AC1" w:rsidRDefault="005C3631">
      <w:pPr>
        <w:pStyle w:val="1"/>
        <w:spacing w:line="360" w:lineRule="auto"/>
        <w:ind w:left="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штрафів за забруднення навколишнього середовища,</w:t>
      </w:r>
      <w:r>
        <w:rPr>
          <w:rFonts w:ascii="Arial" w:hAnsi="Arial" w:cs="Arial"/>
          <w:sz w:val="28"/>
        </w:rPr>
        <w:br/>
        <w:t>встановлюваних радами залежно від завданих збитків,</w:t>
      </w:r>
      <w:r>
        <w:rPr>
          <w:rFonts w:ascii="Arial" w:hAnsi="Arial" w:cs="Arial"/>
          <w:sz w:val="28"/>
        </w:rPr>
        <w:br/>
        <w:t>підприємствами усіх форм власності.</w:t>
      </w:r>
    </w:p>
    <w:p w:rsidR="00E65AC1" w:rsidRDefault="005C3631">
      <w:pPr>
        <w:pStyle w:val="1"/>
        <w:spacing w:line="360" w:lineRule="auto"/>
        <w:ind w:firstLine="3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Цей захід спрямований, до того ж, на виховання у</w:t>
      </w:r>
      <w:r>
        <w:rPr>
          <w:rFonts w:ascii="Arial" w:hAnsi="Arial" w:cs="Arial"/>
          <w:sz w:val="28"/>
        </w:rPr>
        <w:br/>
        <w:t>трудових колективів відповідальності за збереження</w:t>
      </w:r>
      <w:r>
        <w:rPr>
          <w:rFonts w:ascii="Arial" w:hAnsi="Arial" w:cs="Arial"/>
          <w:sz w:val="28"/>
        </w:rPr>
        <w:br/>
        <w:t>природи, бо сплата штрафу сприяє розумінню того, що</w:t>
      </w:r>
      <w:r>
        <w:rPr>
          <w:rFonts w:ascii="Arial" w:hAnsi="Arial" w:cs="Arial"/>
          <w:sz w:val="28"/>
        </w:rPr>
        <w:br/>
        <w:t>забруднювати природу економічно невигідно. Нагро-</w:t>
      </w:r>
      <w:r>
        <w:rPr>
          <w:rFonts w:ascii="Arial" w:hAnsi="Arial" w:cs="Arial"/>
          <w:sz w:val="28"/>
        </w:rPr>
        <w:br/>
        <w:t>мадження коштів на позабюджетних фондах не тільки</w:t>
      </w:r>
      <w:r>
        <w:rPr>
          <w:rFonts w:ascii="Arial" w:hAnsi="Arial" w:cs="Arial"/>
          <w:sz w:val="28"/>
        </w:rPr>
        <w:br/>
        <w:t>розширює права рад усіх рівнів, а й дає необхідні засоби</w:t>
      </w:r>
      <w:r>
        <w:rPr>
          <w:rFonts w:ascii="Arial" w:hAnsi="Arial" w:cs="Arial"/>
          <w:sz w:val="28"/>
        </w:rPr>
        <w:br/>
        <w:t>для фінансування соціально-економічного розвитку районів, міст, областей.</w:t>
      </w:r>
    </w:p>
    <w:p w:rsidR="00E65AC1" w:rsidRDefault="005C3631">
      <w:pPr>
        <w:pStyle w:val="1"/>
        <w:spacing w:line="360" w:lineRule="auto"/>
        <w:ind w:firstLine="3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Позабюджетні фонди формуються з використанням</w:t>
      </w:r>
      <w:r>
        <w:rPr>
          <w:rFonts w:ascii="Arial" w:hAnsi="Arial" w:cs="Arial"/>
          <w:sz w:val="28"/>
        </w:rPr>
        <w:br/>
        <w:t>таких методів: нормативного, коефіцієнтів, добровільних</w:t>
      </w:r>
      <w:r>
        <w:rPr>
          <w:rFonts w:ascii="Arial" w:hAnsi="Arial" w:cs="Arial"/>
          <w:sz w:val="28"/>
        </w:rPr>
        <w:br/>
        <w:t>інвестицій. Нормативний метод на практиці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це твердо</w:t>
      </w:r>
      <w:r>
        <w:rPr>
          <w:rFonts w:ascii="Arial" w:hAnsi="Arial" w:cs="Arial"/>
          <w:sz w:val="28"/>
        </w:rPr>
        <w:br/>
        <w:t>встановлені нормативи відрахувань у фонди</w:t>
      </w:r>
      <w:r>
        <w:rPr>
          <w:rFonts w:ascii="Arial" w:hAnsi="Arial" w:cs="Arial"/>
          <w:noProof/>
          <w:sz w:val="28"/>
        </w:rPr>
        <w:t xml:space="preserve"> — 88 %</w:t>
      </w:r>
      <w:r>
        <w:rPr>
          <w:rFonts w:ascii="Arial" w:hAnsi="Arial" w:cs="Arial"/>
          <w:sz w:val="28"/>
        </w:rPr>
        <w:t xml:space="preserve"> від</w:t>
      </w:r>
      <w:r>
        <w:rPr>
          <w:rFonts w:ascii="Arial" w:hAnsi="Arial" w:cs="Arial"/>
          <w:sz w:val="28"/>
        </w:rPr>
        <w:br/>
        <w:t>сум соціального страхування до Пенсійного фонду і</w:t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noProof/>
          <w:sz w:val="28"/>
        </w:rPr>
        <w:t>12 % —</w:t>
      </w:r>
      <w:r>
        <w:rPr>
          <w:rFonts w:ascii="Arial" w:hAnsi="Arial" w:cs="Arial"/>
          <w:sz w:val="28"/>
        </w:rPr>
        <w:t xml:space="preserve"> до фонду соцстраху, або ж, приміром,</w:t>
      </w:r>
      <w:r>
        <w:rPr>
          <w:rFonts w:ascii="Arial" w:hAnsi="Arial" w:cs="Arial"/>
          <w:noProof/>
          <w:sz w:val="28"/>
        </w:rPr>
        <w:t xml:space="preserve"> 3 %</w:t>
      </w:r>
      <w:r>
        <w:rPr>
          <w:rFonts w:ascii="Arial" w:hAnsi="Arial" w:cs="Arial"/>
          <w:sz w:val="28"/>
        </w:rPr>
        <w:t xml:space="preserve"> від</w:t>
      </w:r>
      <w:r>
        <w:rPr>
          <w:rFonts w:ascii="Arial" w:hAnsi="Arial" w:cs="Arial"/>
          <w:sz w:val="28"/>
        </w:rPr>
        <w:br/>
        <w:t>фонду заробітної плати до фонду зайнятості. Нормативи</w:t>
      </w:r>
      <w:r>
        <w:rPr>
          <w:rFonts w:ascii="Arial" w:hAnsi="Arial" w:cs="Arial"/>
          <w:sz w:val="28"/>
        </w:rPr>
        <w:br/>
        <w:t>змінюються з плином часу, але вони завжди виступають</w:t>
      </w:r>
      <w:r>
        <w:rPr>
          <w:rFonts w:ascii="Arial" w:hAnsi="Arial" w:cs="Arial"/>
          <w:sz w:val="28"/>
        </w:rPr>
        <w:br/>
        <w:t>як твердо встановлені відрахування до того чи іншого</w:t>
      </w:r>
      <w:r>
        <w:rPr>
          <w:rFonts w:ascii="Arial" w:hAnsi="Arial" w:cs="Arial"/>
          <w:sz w:val="28"/>
        </w:rPr>
        <w:br/>
        <w:t>позабюджетного фонду. Норматив може встановлюватись не тільки у відсотках, що зовсім не обов'язково, а й</w:t>
      </w:r>
      <w:r>
        <w:rPr>
          <w:rFonts w:ascii="Arial" w:hAnsi="Arial" w:cs="Arial"/>
          <w:sz w:val="28"/>
        </w:rPr>
        <w:br/>
        <w:t>у твердих грошових сумах.</w:t>
      </w:r>
    </w:p>
    <w:p w:rsidR="00E65AC1" w:rsidRDefault="005C3631">
      <w:pPr>
        <w:pStyle w:val="1"/>
        <w:spacing w:line="360" w:lineRule="auto"/>
        <w:ind w:firstLine="3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Метод коефіцієнтів, як ми вже згадували, сприйнятливіший при дольовій участі підприємств усіх форм</w:t>
      </w:r>
      <w:r>
        <w:rPr>
          <w:rFonts w:ascii="Arial" w:hAnsi="Arial" w:cs="Arial"/>
          <w:sz w:val="28"/>
        </w:rPr>
        <w:br/>
        <w:t>власності у благоустрої міст і селищ, будівництві житла</w:t>
      </w:r>
      <w:r>
        <w:rPr>
          <w:rFonts w:ascii="Arial" w:hAnsi="Arial" w:cs="Arial"/>
          <w:sz w:val="28"/>
        </w:rPr>
        <w:br/>
        <w:t>та об'єктів соцкультпобуту.</w:t>
      </w:r>
    </w:p>
    <w:p w:rsidR="00E65AC1" w:rsidRDefault="005C3631">
      <w:pPr>
        <w:pStyle w:val="1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Метод добровільних інвестицій об'єднує добровільні</w:t>
      </w:r>
      <w:r>
        <w:rPr>
          <w:rFonts w:ascii="Arial" w:hAnsi="Arial" w:cs="Arial"/>
          <w:sz w:val="28"/>
        </w:rPr>
        <w:br/>
        <w:t>пожертвування фізичних і юридичних осіб, коштів до</w:t>
      </w:r>
      <w:r>
        <w:rPr>
          <w:rFonts w:ascii="Arial" w:hAnsi="Arial" w:cs="Arial"/>
          <w:sz w:val="28"/>
        </w:rPr>
        <w:br/>
        <w:t>позабюджетних фондів на проведення соціально-</w:t>
      </w:r>
      <w:r>
        <w:rPr>
          <w:rFonts w:ascii="Arial" w:hAnsi="Arial" w:cs="Arial"/>
          <w:sz w:val="28"/>
        </w:rPr>
        <w:br/>
        <w:t>культурних заходів або інші адресні цілі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будівництво</w:t>
      </w:r>
      <w:r>
        <w:rPr>
          <w:rFonts w:ascii="Arial" w:hAnsi="Arial" w:cs="Arial"/>
          <w:sz w:val="28"/>
        </w:rPr>
        <w:br/>
        <w:t>школи, лікарні, дитячого садка, допомога на лікування</w:t>
      </w:r>
      <w:r>
        <w:rPr>
          <w:rFonts w:ascii="Arial" w:hAnsi="Arial" w:cs="Arial"/>
          <w:sz w:val="28"/>
        </w:rPr>
        <w:br/>
        <w:t>конкретної дитини або на інші цільові заходи,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рішен-</w:t>
      </w:r>
      <w:r>
        <w:rPr>
          <w:rFonts w:ascii="Arial" w:hAnsi="Arial" w:cs="Arial"/>
          <w:sz w:val="28"/>
        </w:rPr>
        <w:br/>
        <w:t>ням органів влади чи управління. Такі централізовані</w:t>
      </w:r>
      <w:r>
        <w:rPr>
          <w:rFonts w:ascii="Arial" w:hAnsi="Arial" w:cs="Arial"/>
          <w:sz w:val="28"/>
        </w:rPr>
        <w:br/>
        <w:t>державні фонди, як соціального страхування, пенсійний,</w:t>
      </w:r>
      <w:r>
        <w:rPr>
          <w:rFonts w:ascii="Arial" w:hAnsi="Arial" w:cs="Arial"/>
          <w:sz w:val="28"/>
        </w:rPr>
        <w:br/>
        <w:t>Чорнобильський, в умовах економічної кризи мають</w:t>
      </w:r>
      <w:r>
        <w:rPr>
          <w:rFonts w:ascii="Arial" w:hAnsi="Arial" w:cs="Arial"/>
          <w:sz w:val="28"/>
        </w:rPr>
        <w:br/>
        <w:t>цільову спрямованість на послаблення негативних явищ,</w:t>
      </w:r>
      <w:r>
        <w:rPr>
          <w:rFonts w:ascii="Arial" w:hAnsi="Arial" w:cs="Arial"/>
          <w:sz w:val="28"/>
        </w:rPr>
        <w:br/>
        <w:t>пов'язаних із скороченням виробництва, зростанням</w:t>
      </w:r>
      <w:r>
        <w:rPr>
          <w:rFonts w:ascii="Arial" w:hAnsi="Arial" w:cs="Arial"/>
          <w:sz w:val="28"/>
        </w:rPr>
        <w:br/>
        <w:t>цін, насамперед у соціально-культурній сфері, і захистом</w:t>
      </w:r>
      <w:r>
        <w:rPr>
          <w:rFonts w:ascii="Arial" w:hAnsi="Arial" w:cs="Arial"/>
          <w:sz w:val="28"/>
        </w:rPr>
        <w:br/>
        <w:t>малозабезпечених громадян. Тому вони розрахункове</w:t>
      </w:r>
      <w:r>
        <w:rPr>
          <w:rFonts w:ascii="Arial" w:hAnsi="Arial" w:cs="Arial"/>
          <w:sz w:val="28"/>
        </w:rPr>
        <w:br/>
        <w:t>повинні входити до складу Державного бюджету.</w:t>
      </w:r>
      <w:bookmarkStart w:id="0" w:name="_GoBack"/>
      <w:bookmarkEnd w:id="0"/>
    </w:p>
    <w:sectPr w:rsidR="00E65AC1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0BB4"/>
    <w:multiLevelType w:val="singleLevel"/>
    <w:tmpl w:val="4EC07628"/>
    <w:lvl w:ilvl="0">
      <w:numFmt w:val="bullet"/>
      <w:lvlText w:val="—"/>
      <w:lvlJc w:val="left"/>
      <w:pPr>
        <w:tabs>
          <w:tab w:val="num" w:pos="740"/>
        </w:tabs>
        <w:ind w:left="7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631"/>
    <w:rsid w:val="0029686B"/>
    <w:rsid w:val="005C3631"/>
    <w:rsid w:val="00E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2F080BF-7AB8-4D67-B7B1-E6EA17A7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line="280" w:lineRule="auto"/>
      <w:ind w:left="120" w:firstLine="400"/>
      <w:jc w:val="both"/>
    </w:pPr>
    <w:rPr>
      <w:rFonts w:ascii="Arial" w:hAnsi="Arial"/>
      <w:snapToGrid w:val="0"/>
      <w:lang w:val="uk-UA"/>
    </w:rPr>
  </w:style>
  <w:style w:type="paragraph" w:customStyle="1" w:styleId="1">
    <w:name w:val="Обычный1"/>
    <w:pPr>
      <w:widowControl w:val="0"/>
      <w:spacing w:line="280" w:lineRule="auto"/>
      <w:ind w:firstLine="360"/>
      <w:jc w:val="both"/>
    </w:pPr>
    <w:rPr>
      <w:snapToGrid w:val="0"/>
      <w:lang w:val="uk-UA"/>
    </w:rPr>
  </w:style>
  <w:style w:type="paragraph" w:customStyle="1" w:styleId="FR4">
    <w:name w:val="FR4"/>
    <w:pPr>
      <w:widowControl w:val="0"/>
      <w:spacing w:before="160"/>
      <w:jc w:val="both"/>
    </w:pPr>
    <w:rPr>
      <w:rFonts w:ascii="Arial" w:hAnsi="Arial"/>
      <w:b/>
      <w:snapToGrid w:val="0"/>
      <w:sz w:val="1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6524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2014-05-11T04:55:00Z</dcterms:created>
  <dcterms:modified xsi:type="dcterms:W3CDTF">2014-05-11T04:55:00Z</dcterms:modified>
  <cp:category>Економіка. Банківська справа</cp:category>
</cp:coreProperties>
</file>