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2E" w:rsidRDefault="00DB7E2E">
      <w:pPr>
        <w:pStyle w:val="a5"/>
        <w:rPr>
          <w:sz w:val="28"/>
        </w:rPr>
      </w:pPr>
      <w:r>
        <w:rPr>
          <w:sz w:val="28"/>
        </w:rPr>
        <w:t>МГТУ им.  Н. Э. Баумана</w:t>
      </w: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24"/>
        </w:rPr>
      </w:pPr>
    </w:p>
    <w:p w:rsidR="00DB7E2E" w:rsidRDefault="00DB7E2E">
      <w:pPr>
        <w:jc w:val="center"/>
        <w:rPr>
          <w:sz w:val="32"/>
        </w:rPr>
      </w:pPr>
      <w:r>
        <w:rPr>
          <w:sz w:val="32"/>
        </w:rPr>
        <w:t>Реферат по философии</w:t>
      </w:r>
    </w:p>
    <w:p w:rsidR="00DB7E2E" w:rsidRDefault="00DB7E2E">
      <w:pPr>
        <w:jc w:val="center"/>
        <w:rPr>
          <w:sz w:val="32"/>
        </w:rPr>
      </w:pPr>
      <w:r>
        <w:rPr>
          <w:sz w:val="32"/>
        </w:rPr>
        <w:t>Тема:</w:t>
      </w:r>
    </w:p>
    <w:p w:rsidR="00DB7E2E" w:rsidRDefault="00DB7E2E">
      <w:pPr>
        <w:pStyle w:val="a6"/>
        <w:rPr>
          <w:sz w:val="52"/>
        </w:rPr>
      </w:pPr>
      <w:r>
        <w:rPr>
          <w:sz w:val="52"/>
        </w:rPr>
        <w:t>Культ научно-технического разума и его противники</w:t>
      </w: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3969"/>
      </w:pPr>
    </w:p>
    <w:p w:rsidR="00DB7E2E" w:rsidRDefault="00DB7E2E">
      <w:pPr>
        <w:ind w:left="5387"/>
        <w:rPr>
          <w:sz w:val="28"/>
        </w:rPr>
      </w:pPr>
      <w:r>
        <w:rPr>
          <w:sz w:val="28"/>
        </w:rPr>
        <w:t>Студент:              Гавриш А.Н.</w:t>
      </w:r>
    </w:p>
    <w:p w:rsidR="00DB7E2E" w:rsidRDefault="00DB7E2E">
      <w:pPr>
        <w:ind w:left="5387"/>
        <w:rPr>
          <w:sz w:val="28"/>
        </w:rPr>
      </w:pPr>
      <w:r>
        <w:rPr>
          <w:sz w:val="28"/>
        </w:rPr>
        <w:t>Группа:                АК1-61</w:t>
      </w:r>
    </w:p>
    <w:p w:rsidR="00DB7E2E" w:rsidRDefault="00DB7E2E">
      <w:pPr>
        <w:ind w:left="5387"/>
        <w:rPr>
          <w:sz w:val="28"/>
        </w:rPr>
      </w:pPr>
      <w:r>
        <w:rPr>
          <w:sz w:val="28"/>
        </w:rPr>
        <w:t>Преподаватель:   Познер А.Р.</w:t>
      </w: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</w:p>
    <w:p w:rsidR="00DB7E2E" w:rsidRDefault="00DB7E2E">
      <w:pPr>
        <w:jc w:val="center"/>
        <w:rPr>
          <w:sz w:val="28"/>
        </w:rPr>
      </w:pPr>
      <w:r>
        <w:rPr>
          <w:sz w:val="28"/>
        </w:rPr>
        <w:t>-2000-</w:t>
      </w:r>
    </w:p>
    <w:p w:rsidR="00DB7E2E" w:rsidRDefault="00DB7E2E">
      <w:pPr>
        <w:pStyle w:val="FR1"/>
        <w:spacing w:line="360" w:lineRule="auto"/>
        <w:rPr>
          <w:sz w:val="28"/>
        </w:rPr>
      </w:pPr>
    </w:p>
    <w:p w:rsidR="00DB7E2E" w:rsidRDefault="00DB7E2E">
      <w:pPr>
        <w:pStyle w:val="FR1"/>
        <w:spacing w:line="360" w:lineRule="auto"/>
        <w:rPr>
          <w:sz w:val="28"/>
        </w:rPr>
      </w:pPr>
      <w:r>
        <w:rPr>
          <w:sz w:val="28"/>
        </w:rPr>
        <w:t>Культ научно-технического разума и его противники</w:t>
      </w:r>
    </w:p>
    <w:p w:rsidR="00DB7E2E" w:rsidRDefault="00DB7E2E">
      <w:pPr>
        <w:spacing w:before="240" w:line="360" w:lineRule="auto"/>
        <w:ind w:firstLine="320"/>
        <w:rPr>
          <w:sz w:val="28"/>
        </w:rPr>
      </w:pPr>
      <w:r>
        <w:rPr>
          <w:sz w:val="28"/>
        </w:rPr>
        <w:t>Наш век — это эпоха научно-технической революции, неви</w:t>
      </w:r>
      <w:r>
        <w:rPr>
          <w:sz w:val="28"/>
        </w:rPr>
        <w:softHyphen/>
        <w:t>данного взлета научной мысли. Социально-исторические предпо</w:t>
      </w:r>
      <w:r>
        <w:rPr>
          <w:sz w:val="28"/>
        </w:rPr>
        <w:softHyphen/>
        <w:t>сылки веры человека и человечества в разум и науку в XX веке не менее, а более прочны и широки, чем в предшествующей истории. Рациональное знание, в особенности научное, стало важнейшей составляющей нововведений, кардинальных соци</w:t>
      </w:r>
      <w:r>
        <w:rPr>
          <w:sz w:val="28"/>
        </w:rPr>
        <w:softHyphen/>
        <w:t>ально-исторических преобразований, основной формой повы</w:t>
      </w:r>
      <w:r>
        <w:rPr>
          <w:sz w:val="28"/>
        </w:rPr>
        <w:softHyphen/>
        <w:t>шения производительности труда и изменения всех форм чело</w:t>
      </w:r>
      <w:r>
        <w:rPr>
          <w:sz w:val="28"/>
        </w:rPr>
        <w:softHyphen/>
        <w:t>веческого бытия.</w:t>
      </w:r>
    </w:p>
    <w:p w:rsidR="00DB7E2E" w:rsidRDefault="00DB7E2E">
      <w:pPr>
        <w:pStyle w:val="FR2"/>
        <w:spacing w:before="400" w:line="360" w:lineRule="auto"/>
        <w:jc w:val="center"/>
        <w:rPr>
          <w:sz w:val="28"/>
        </w:rPr>
      </w:pPr>
      <w:r>
        <w:rPr>
          <w:sz w:val="28"/>
        </w:rPr>
        <w:t>Сциентизм и антисциентизм</w:t>
      </w:r>
    </w:p>
    <w:p w:rsidR="00DB7E2E" w:rsidRDefault="00DB7E2E">
      <w:pPr>
        <w:spacing w:before="240" w:line="360" w:lineRule="auto"/>
        <w:ind w:firstLine="320"/>
        <w:rPr>
          <w:sz w:val="28"/>
        </w:rPr>
      </w:pPr>
      <w:r>
        <w:rPr>
          <w:sz w:val="28"/>
        </w:rPr>
        <w:t>Научно-техническая революция, широко развернувшаяся во второй половине XX века, породила не только проблемы и проти</w:t>
      </w:r>
      <w:r>
        <w:rPr>
          <w:sz w:val="28"/>
        </w:rPr>
        <w:softHyphen/>
        <w:t>воречия, но и надежды на то, что с помощью новых научных дисциплин и новой техники будут наконец разрешены трудные проблемы и противоречия человеческой жизни. Такие умонаст</w:t>
      </w:r>
      <w:r>
        <w:rPr>
          <w:sz w:val="28"/>
        </w:rPr>
        <w:softHyphen/>
        <w:t>роения получили в наше время название «сциентистских» (от лат. scienlia — наука) и «техницистских». Формы их были различны:</w:t>
      </w:r>
    </w:p>
    <w:p w:rsidR="00DB7E2E" w:rsidRDefault="00DB7E2E">
      <w:pPr>
        <w:spacing w:line="360" w:lineRule="auto"/>
        <w:ind w:firstLine="0"/>
        <w:rPr>
          <w:sz w:val="28"/>
        </w:rPr>
      </w:pPr>
      <w:r>
        <w:rPr>
          <w:sz w:val="28"/>
        </w:rPr>
        <w:t>существовали разновидности «кибернетического», «генетиче</w:t>
      </w:r>
      <w:r>
        <w:rPr>
          <w:sz w:val="28"/>
        </w:rPr>
        <w:softHyphen/>
        <w:t>ского», «компьютерного» и т. д. техницизма и сциентизма. В свою очередь, различные виды сциентизма положены в основание кон</w:t>
      </w:r>
      <w:r>
        <w:rPr>
          <w:sz w:val="28"/>
        </w:rPr>
        <w:softHyphen/>
        <w:t>цепций индустриального, постиндустриального, информационного общества, которые в 50—80-х годах сменяли друг друга на арене идейной борьбы. Культ сугубо современного научно-технического знания и был «новым изданием» культа разума.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В известном отношении культ научно-технического разума, «функциональной рациональности» (понятие, введенное в обиход видными социологами и философами XX века Э. Дюркгеймом и М. Вебером) в XX веке был взвинчен выше, чем в эпоху классики. Влияние научно-технического разума на социальное развитие, жизнь людей рисовалось как мощное и прямое. В 50—60-х годах — на волне высокой экономической конъюнктуры — приобрела широкое влияние концепция «общества всеобщего благоденствия», построенного на принципах «рациональной эффективности».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Наиболее популярные в те времена западные авторы (У. У. Ростоу, Д. Белл и др.), обещая «общество всеобщего благоден</w:t>
      </w:r>
      <w:r>
        <w:rPr>
          <w:sz w:val="28"/>
        </w:rPr>
        <w:softHyphen/>
        <w:t>ствия», полагались именно на взлет и чуть ли не на чудодействен</w:t>
      </w:r>
      <w:r>
        <w:rPr>
          <w:sz w:val="28"/>
        </w:rPr>
        <w:softHyphen/>
        <w:t>ную силу научно-технического разума, на «разумность», «науч</w:t>
      </w:r>
      <w:r>
        <w:rPr>
          <w:sz w:val="28"/>
        </w:rPr>
        <w:softHyphen/>
        <w:t>ность» управления, на рост образовательного уровня больших масс населения и т. д. Техницистские и сциентистские иллюзии сплелись также с технократической утопией, с представлением о грядущей власти (от греч. «кратос» — власть) компетентных научно-технических специалистов, экспертов, то есть, собственно, с представлением о той же безраздельной власти научно-техни</w:t>
      </w:r>
      <w:r>
        <w:rPr>
          <w:sz w:val="28"/>
        </w:rPr>
        <w:softHyphen/>
        <w:t>ческого разума.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Сторонники сциентистских и техницистских концепций в 50—60-е годы поспешили даже назвать сроки исполнения своих сверх оптимистических «предсказаний»: благоденствие, власть технократов «назначались» на 70—80-е годы. Иллюзии были развенчаны. 70—80-е годы общество встретило невиданными науч</w:t>
      </w:r>
      <w:r>
        <w:rPr>
          <w:sz w:val="28"/>
        </w:rPr>
        <w:softHyphen/>
        <w:t>но-техническими достижениями, повышением производитель</w:t>
      </w:r>
      <w:r>
        <w:rPr>
          <w:sz w:val="28"/>
        </w:rPr>
        <w:softHyphen/>
        <w:t>ности труда и уровня жизни в ряде стран, но и обострившимися проблемами и противоречиями, которые привели ныне живущих людей на грань самого, пожалуй, опасного кризиса в его истории. Исчезли ли сегодня техницистско-сциентистские, технократи</w:t>
      </w:r>
      <w:r>
        <w:rPr>
          <w:sz w:val="28"/>
        </w:rPr>
        <w:softHyphen/>
        <w:t>ческие концепции? Отнюдь нет. Они, правда, заметно видоизмени</w:t>
      </w:r>
      <w:r>
        <w:rPr>
          <w:sz w:val="28"/>
        </w:rPr>
        <w:softHyphen/>
        <w:t>ли свою форму.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В 50—60-х годах сциентизм и техницизм выступали главным образом в виде сугубо оптимистических представлений о настоя</w:t>
      </w:r>
      <w:r>
        <w:rPr>
          <w:sz w:val="28"/>
        </w:rPr>
        <w:softHyphen/>
        <w:t>щем и будущем. В последние десятилетия сциентисты и техницисты раскололись на два лагеря. Одни, разочаровавшись в возможностях науки и техники, но не усматривая других равно</w:t>
      </w:r>
      <w:r>
        <w:rPr>
          <w:sz w:val="28"/>
        </w:rPr>
        <w:softHyphen/>
        <w:t>ценных им стимулов и механизмов социального прогресса, выдвигают идеи своего рода умеренного, критического оптимизма или даже сциентистского пессимизма. Другие, подвергая критике слишком благодушный сциентизм прошлого, охотно указывая на социальные противоречия, конфликты, прогнозируя их и в будущем, по-прежнему возлагают основные надежды на новую волну научно-технического прогресса, на преобразующую роль знания, на экономические изменения (хотя с большим вниманием, чем прежние техницисты и сциентисты, относятся к политическим, духовно-нравственным и гуманистическим факторам). Между кон</w:t>
      </w:r>
      <w:r>
        <w:rPr>
          <w:sz w:val="28"/>
        </w:rPr>
        <w:softHyphen/>
        <w:t>цепциями индустриального, постиндустриального общества и, например, новейшими концепциями информационного общества существует несомненная преемственность — она состоит как раз в верности методам и приемам техницизма, сциентизма. Снова — и в «новейших» вариантах — утверждается культ разума и науки.</w:t>
      </w:r>
    </w:p>
    <w:p w:rsidR="00DB7E2E" w:rsidRDefault="00DB7E2E">
      <w:pPr>
        <w:spacing w:line="360" w:lineRule="auto"/>
        <w:ind w:firstLine="320"/>
        <w:rPr>
          <w:sz w:val="28"/>
        </w:rPr>
      </w:pPr>
      <w:r>
        <w:rPr>
          <w:sz w:val="28"/>
        </w:rPr>
        <w:t>Приведем в качестве примера концепцию японского автора Е. Масуды, изложенную в книге с названием, которое четко раскрывает упомянутую преемственность: «Информационное общество как постиндустриальное общество», впервые опуб</w:t>
      </w:r>
      <w:r>
        <w:rPr>
          <w:sz w:val="28"/>
        </w:rPr>
        <w:softHyphen/>
        <w:t>ликованную в 1986 году. Было бы принципиально неверно недо</w:t>
      </w:r>
      <w:r>
        <w:rPr>
          <w:sz w:val="28"/>
        </w:rPr>
        <w:softHyphen/>
        <w:t>оценивать практическое влияние подобных концепций — именно они служат в качестве своего рода «философии действия» при осуществлении крупномасштабных научно-технических нововве</w:t>
      </w:r>
      <w:r>
        <w:rPr>
          <w:sz w:val="28"/>
        </w:rPr>
        <w:softHyphen/>
        <w:t>дений и связанных с ними социальных преобразований. Е. Масуда был среди тех, кто разработал план-прогноз информационного общества, который, по крайней мере в его научно-технической и организационной части, был не без успеха реализован в Японии и других индустриально развитых странах капитализма. Обычно такого рода учения содержат в себе целые разделы, идеи и выводы которых представляют немалый теоретический и практический интерес. Так, у Е. Масуды (а также у авторов других концепций информационного общества — Д. Белла, А. Тофлера в их послед</w:t>
      </w:r>
      <w:r>
        <w:rPr>
          <w:sz w:val="28"/>
        </w:rPr>
        <w:softHyphen/>
        <w:t>них работах, Дж. Нэсбита и др.) исходным является анализ особен</w:t>
      </w:r>
      <w:r>
        <w:rPr>
          <w:sz w:val="28"/>
        </w:rPr>
        <w:softHyphen/>
        <w:t>ностей науки и техники на «информационной» стадии развития общества (интеграция компьютера и средств телекоммуникации), а также выяснение специфики информации как первоосновы новейшей научно-технической деятельности. Преимущества и специфику информации Е. Масуда видит в том, что она не исчезает при потреблении, не передается полностью при обмене (оставаясь в информационной системе и у пользователя), является «недели</w:t>
      </w:r>
      <w:r>
        <w:rPr>
          <w:sz w:val="28"/>
        </w:rPr>
        <w:softHyphen/>
        <w:t>мой», то есть имеет смысл только при достаточно полном наборе сведений, что качество ее повышается с добавлением новой ин</w:t>
      </w:r>
      <w:r>
        <w:rPr>
          <w:sz w:val="28"/>
        </w:rPr>
        <w:softHyphen/>
        <w:t>формации. Действительно, общество, научно-техническая, произ</w:t>
      </w:r>
      <w:r>
        <w:rPr>
          <w:sz w:val="28"/>
        </w:rPr>
        <w:softHyphen/>
        <w:t>водственно-практическая, теоретическая деятельность которого основана на оперативно накапливаемой, разумно используемой информации, в принципе получает в свое распоряжение ресурсы огромной значимости, доступные многократному и многосторон</w:t>
      </w:r>
      <w:r>
        <w:rPr>
          <w:sz w:val="28"/>
        </w:rPr>
        <w:softHyphen/>
        <w:t>нему использованию, дальнейшему «возобновлению» в усовер</w:t>
      </w:r>
      <w:r>
        <w:rPr>
          <w:sz w:val="28"/>
        </w:rPr>
        <w:softHyphen/>
        <w:t>шенствованном виде и быстрому созданию новых информацион</w:t>
      </w:r>
      <w:r>
        <w:rPr>
          <w:sz w:val="28"/>
        </w:rPr>
        <w:softHyphen/>
        <w:t>ных систем. Информация — это, во-первых, знание относительно нового типа, пригодное для дальнейшего использования, а во-вторых, знание, производство, хранение и применение которого действительно становится все более важной для общества дея</w:t>
      </w:r>
      <w:r>
        <w:rPr>
          <w:sz w:val="28"/>
        </w:rPr>
        <w:softHyphen/>
        <w:t>тельностью, порождает соответствующие ему технико-организа</w:t>
      </w:r>
      <w:r>
        <w:rPr>
          <w:sz w:val="28"/>
        </w:rPr>
        <w:softHyphen/>
        <w:t>ционные структуры. Возрастающая роль информации и инфор</w:t>
      </w:r>
      <w:r>
        <w:rPr>
          <w:sz w:val="28"/>
        </w:rPr>
        <w:softHyphen/>
        <w:t>мационных систем — исторический факт, лежащий в основании концепций информационного общества. Другой факт — быстрое, поистине революционное воздействие «информационного разума» на производство, управление, всю жизнь людей.</w:t>
      </w:r>
    </w:p>
    <w:p w:rsidR="00DB7E2E" w:rsidRDefault="00DB7E2E">
      <w:pPr>
        <w:spacing w:line="360" w:lineRule="auto"/>
        <w:ind w:firstLine="320"/>
        <w:rPr>
          <w:sz w:val="28"/>
        </w:rPr>
      </w:pPr>
      <w:r>
        <w:rPr>
          <w:sz w:val="28"/>
        </w:rPr>
        <w:t>Е. Масуда обсуждает и ряд других реальных проблем: о фор</w:t>
      </w:r>
      <w:r>
        <w:rPr>
          <w:sz w:val="28"/>
        </w:rPr>
        <w:softHyphen/>
        <w:t>мировании «новой среды» жизни людей, имея в виду «компью-тополис» — город с такими «информационными системами», как кабельное многоканальное телевидение; о транспортной рельсо</w:t>
      </w:r>
      <w:r>
        <w:rPr>
          <w:sz w:val="28"/>
        </w:rPr>
        <w:softHyphen/>
        <w:t>вой системе пассажирских двухместных экипажей; об автомати</w:t>
      </w:r>
      <w:r>
        <w:rPr>
          <w:sz w:val="28"/>
        </w:rPr>
        <w:softHyphen/>
        <w:t>зированной доставке товаров; о новых компьютерных системах здравоохранения и обучения; об автоматическом контроле за загрязнением окружающей среды; о центрах научной, управлен</w:t>
      </w:r>
      <w:r>
        <w:rPr>
          <w:sz w:val="28"/>
        </w:rPr>
        <w:softHyphen/>
        <w:t>ческой информации, профессиональной ориентации и т. д. Надо отметить, что это не утопические мечтания, а проекты, находя</w:t>
      </w:r>
      <w:r>
        <w:rPr>
          <w:sz w:val="28"/>
        </w:rPr>
        <w:softHyphen/>
        <w:t>щиеся в стадии эксперимента, реализации или проектирования.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С научно-технической, организационно-управленческой то</w:t>
      </w:r>
      <w:r>
        <w:rPr>
          <w:sz w:val="28"/>
        </w:rPr>
        <w:softHyphen/>
        <w:t>чек зрения изучение новейших концепций информационного об</w:t>
      </w:r>
      <w:r>
        <w:rPr>
          <w:sz w:val="28"/>
        </w:rPr>
        <w:softHyphen/>
        <w:t>щества представляет большой позитивный интерес. Что же каса</w:t>
      </w:r>
      <w:r>
        <w:rPr>
          <w:sz w:val="28"/>
        </w:rPr>
        <w:softHyphen/>
        <w:t>ется социально-философских предпосылок и выводов этих кон</w:t>
      </w:r>
      <w:r>
        <w:rPr>
          <w:sz w:val="28"/>
        </w:rPr>
        <w:softHyphen/>
        <w:t>цепций, то их общими чертами остаются техницизм и сциентизм, культ «информационного разума», от прогресса которого опять ожидают прямого и кардинального преобразования общественных отношений, в том числе отношений собственности и власти.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Реакцией на сциентистские и техницистские утопии является усиление антитехницистской, антисциентистской волны. Она, впрочем, на протяжении всего XX века достигала достаточно высокой отметки. Развенчивание иллюзий техницистско-сциентистского оптимизма вызывало и вызывает к жизни «антиутопии».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В XX веке создано великое множество антиутопий. Немало известных писателей работало в этом жанре — это Г. Уэллс, А. Франк, Э. Синклер, Дж. Лондон («Железная пята»), К. Вон</w:t>
      </w:r>
      <w:r>
        <w:rPr>
          <w:sz w:val="28"/>
        </w:rPr>
        <w:softHyphen/>
        <w:t>негут («Механическое пианино», в русском переводе «Уто</w:t>
      </w:r>
      <w:r>
        <w:rPr>
          <w:sz w:val="28"/>
        </w:rPr>
        <w:softHyphen/>
        <w:t>пия 14»), Р. Брэдбери («451° по Фаренгейту»), братья Стру</w:t>
      </w:r>
      <w:r>
        <w:rPr>
          <w:sz w:val="28"/>
        </w:rPr>
        <w:softHyphen/>
        <w:t>гацкие и др. Классическими считаются произведения Е. Замя</w:t>
      </w:r>
      <w:r>
        <w:rPr>
          <w:sz w:val="28"/>
        </w:rPr>
        <w:softHyphen/>
        <w:t>тина «Мы», английских писателей О. Хаксли «О дивный новый мир» и Дж. Оруэлла «1984 год». В них нарисованы резко крити</w:t>
      </w:r>
      <w:r>
        <w:rPr>
          <w:sz w:val="28"/>
        </w:rPr>
        <w:softHyphen/>
        <w:t>ческие образы «машинизированного» будущего, отождествленного с тоталитарным государством, где наука, техника доведены до со</w:t>
      </w:r>
      <w:r>
        <w:rPr>
          <w:sz w:val="28"/>
        </w:rPr>
        <w:softHyphen/>
        <w:t>вершенства и где подавлены свобода, индивидуальность. Вы</w:t>
      </w:r>
      <w:r>
        <w:rPr>
          <w:sz w:val="28"/>
        </w:rPr>
        <w:softHyphen/>
        <w:t>мышленной Океанией в антиутопии Оруэлла управляет Большой Брат, который — благодаря наисовершеннейшим техническим ус</w:t>
      </w:r>
      <w:r>
        <w:rPr>
          <w:sz w:val="28"/>
        </w:rPr>
        <w:softHyphen/>
        <w:t>тройствам и службе надзора — контролирует всех и вся. Океа</w:t>
      </w:r>
      <w:r>
        <w:rPr>
          <w:sz w:val="28"/>
        </w:rPr>
        <w:softHyphen/>
        <w:t>ния — мир исполнителей, которых с детства обучают в духе по</w:t>
      </w:r>
      <w:r>
        <w:rPr>
          <w:sz w:val="28"/>
        </w:rPr>
        <w:softHyphen/>
        <w:t>слушания, неспособности к самостоятельному мышлению, чему служат специально сконструированные язык и идеология. А в них искореняются словосочетания, подобные «политической свободе». И хотя в 1984 году «орузлловский мир» в полной мере «не состоял</w:t>
      </w:r>
      <w:r>
        <w:rPr>
          <w:sz w:val="28"/>
        </w:rPr>
        <w:softHyphen/>
        <w:t>ся», немало западных авторов, отодвигая «срок прихода Боль</w:t>
      </w:r>
      <w:r>
        <w:rPr>
          <w:sz w:val="28"/>
        </w:rPr>
        <w:softHyphen/>
        <w:t>шого Брата», считают, что антиутопии еще станут реальностью.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Создатели антиутопий вместе с техницистами и сциентистами, но существу, исходят из идеи всевластия науки и техники, хотя не приемлют техницистского оптимизма, заменяя его антитехницистским пессимизмом. Идейно-теоретические основания техницистско-сциентистских и антитехницистских концепций, утопий и антиутопий оказываются, таким образом, очень сходными. И только эмоциональные оценки меняются на противоположные. Этими крайностями, которые расходятся, но то и дело сходятся, немарксистские философия и социология XX века чаще всего и оборачивались к миру социально-политических дискуссий, к миру культуры. И все же никак нельзя сбрасывать со счетов роль антиутопий как специфического вида социальной критики, как гуманистического предостережения, обращенного к человеку и человечеству: смотрите, что может произойти, если не конт</w:t>
      </w:r>
      <w:r>
        <w:rPr>
          <w:sz w:val="28"/>
        </w:rPr>
        <w:softHyphen/>
        <w:t>ролировать развитие науки и техники, если во главу угла не поставить потребности человека, его духовно-нравственные цели и ценности.</w:t>
      </w:r>
    </w:p>
    <w:p w:rsidR="00DB7E2E" w:rsidRDefault="00DB7E2E">
      <w:pPr>
        <w:spacing w:line="360" w:lineRule="auto"/>
        <w:rPr>
          <w:sz w:val="28"/>
        </w:rPr>
      </w:pPr>
      <w:r>
        <w:rPr>
          <w:sz w:val="28"/>
        </w:rPr>
        <w:t>Особого внимания заслуживает также и та сложная работа над проблемами разума, техники, науки, которая шла в среде профессиональной философии. Она подчас была малопонятна «со стороны», да не всегда и выливалась в ценные и адекватные результаты. И все же вклад немарксистской философии XX сто</w:t>
      </w:r>
      <w:r>
        <w:rPr>
          <w:sz w:val="28"/>
        </w:rPr>
        <w:softHyphen/>
        <w:t>летия в немалой степени состоит прежде всего в незавершенном и сегодня, не лишенном противоречий и неясностей, но пер</w:t>
      </w:r>
      <w:r>
        <w:rPr>
          <w:sz w:val="28"/>
        </w:rPr>
        <w:softHyphen/>
        <w:t>спективном поиске нового целостного образа человека и челове</w:t>
      </w:r>
      <w:r>
        <w:rPr>
          <w:sz w:val="28"/>
        </w:rPr>
        <w:softHyphen/>
        <w:t>ческого духа. А он включал в себя и новое понимание рациональ</w:t>
      </w:r>
      <w:r>
        <w:rPr>
          <w:sz w:val="28"/>
        </w:rPr>
        <w:softHyphen/>
        <w:t>ности вообще, научно-технической рациональности в особенности. Постановка проблемы науки и техники, одним словом, была вклю</w:t>
      </w:r>
      <w:r>
        <w:rPr>
          <w:sz w:val="28"/>
        </w:rPr>
        <w:softHyphen/>
        <w:t>чена в философию человека. Для понимания немарксистской философии XX века очень важно подробнее рассмотреть совершен</w:t>
      </w:r>
      <w:r>
        <w:rPr>
          <w:sz w:val="28"/>
        </w:rPr>
        <w:softHyphen/>
        <w:t>ный ею «антропологический поворот».</w:t>
      </w:r>
      <w:bookmarkStart w:id="0" w:name="_GoBack"/>
      <w:bookmarkEnd w:id="0"/>
    </w:p>
    <w:sectPr w:rsidR="00DB7E2E">
      <w:headerReference w:type="even" r:id="rId6"/>
      <w:headerReference w:type="default" r:id="rId7"/>
      <w:pgSz w:w="11900" w:h="16820"/>
      <w:pgMar w:top="567" w:right="567" w:bottom="907" w:left="1134" w:header="720" w:footer="720" w:gutter="0"/>
      <w:pgBorders w:display="firstPage"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gBorders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2E" w:rsidRDefault="00DB7E2E">
      <w:pPr>
        <w:spacing w:line="240" w:lineRule="auto"/>
      </w:pPr>
      <w:r>
        <w:separator/>
      </w:r>
    </w:p>
  </w:endnote>
  <w:endnote w:type="continuationSeparator" w:id="0">
    <w:p w:rsidR="00DB7E2E" w:rsidRDefault="00DB7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2E" w:rsidRDefault="00DB7E2E">
      <w:pPr>
        <w:spacing w:line="240" w:lineRule="auto"/>
      </w:pPr>
      <w:r>
        <w:separator/>
      </w:r>
    </w:p>
  </w:footnote>
  <w:footnote w:type="continuationSeparator" w:id="0">
    <w:p w:rsidR="00DB7E2E" w:rsidRDefault="00DB7E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2E" w:rsidRDefault="00DB7E2E">
    <w:pPr>
      <w:pStyle w:val="a3"/>
      <w:framePr w:wrap="around" w:vAnchor="text" w:hAnchor="margin" w:xAlign="right" w:y="1"/>
      <w:rPr>
        <w:rStyle w:val="a4"/>
      </w:rPr>
    </w:pPr>
  </w:p>
  <w:p w:rsidR="00DB7E2E" w:rsidRDefault="00DB7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2E" w:rsidRDefault="00ED499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7</w:t>
    </w:r>
  </w:p>
  <w:p w:rsidR="00DB7E2E" w:rsidRDefault="00DB7E2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lignBordersAndEdges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992"/>
    <w:rsid w:val="00592443"/>
    <w:rsid w:val="00593776"/>
    <w:rsid w:val="00DB7E2E"/>
    <w:rsid w:val="00E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0C8E5-B1BA-4BA1-B63F-687174B2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60" w:lineRule="auto"/>
      <w:ind w:firstLine="300"/>
      <w:jc w:val="both"/>
    </w:pPr>
    <w:rPr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60" w:lineRule="auto"/>
      <w:ind w:left="1080" w:right="1000"/>
      <w:jc w:val="center"/>
    </w:pPr>
    <w:rPr>
      <w:rFonts w:ascii="Arial" w:hAnsi="Arial"/>
      <w:b/>
      <w:snapToGrid w:val="0"/>
      <w:sz w:val="22"/>
    </w:rPr>
  </w:style>
  <w:style w:type="paragraph" w:customStyle="1" w:styleId="FR2">
    <w:name w:val="FR2"/>
    <w:pPr>
      <w:widowControl w:val="0"/>
      <w:jc w:val="right"/>
    </w:pPr>
    <w:rPr>
      <w:rFonts w:ascii="Arial" w:hAnsi="Arial"/>
      <w:b/>
      <w:snapToGrid w:val="0"/>
      <w:sz w:val="16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spacing w:line="240" w:lineRule="auto"/>
      <w:ind w:firstLine="0"/>
      <w:jc w:val="center"/>
    </w:pPr>
    <w:rPr>
      <w:sz w:val="24"/>
    </w:rPr>
  </w:style>
  <w:style w:type="paragraph" w:styleId="a6">
    <w:name w:val="Body Text"/>
    <w:basedOn w:val="a"/>
    <w:semiHidden/>
    <w:pPr>
      <w:spacing w:line="240" w:lineRule="auto"/>
      <w:ind w:firstLine="0"/>
      <w:jc w:val="center"/>
    </w:pPr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Alex&amp;Kat</Company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cp:lastModifiedBy>admin</cp:lastModifiedBy>
  <cp:revision>2</cp:revision>
  <cp:lastPrinted>1899-12-31T22:00:00Z</cp:lastPrinted>
  <dcterms:created xsi:type="dcterms:W3CDTF">2014-02-13T18:05:00Z</dcterms:created>
  <dcterms:modified xsi:type="dcterms:W3CDTF">2014-02-13T18:05:00Z</dcterms:modified>
</cp:coreProperties>
</file>