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5B" w:rsidRDefault="00944C5B">
      <w:pPr>
        <w:spacing w:line="360" w:lineRule="auto"/>
        <w:jc w:val="center"/>
        <w:rPr>
          <w:b/>
          <w:bCs/>
          <w:sz w:val="32"/>
          <w:lang w:val="uk-UA"/>
        </w:rPr>
      </w:pPr>
    </w:p>
    <w:p w:rsidR="00944C5B" w:rsidRDefault="00944C5B">
      <w:pPr>
        <w:pStyle w:val="1"/>
        <w:spacing w:line="360" w:lineRule="auto"/>
        <w:jc w:val="center"/>
        <w:rPr>
          <w:rFonts w:ascii="Bookman Old Style" w:hAnsi="Bookman Old Style"/>
          <w:b/>
          <w:bCs/>
          <w:sz w:val="48"/>
        </w:rPr>
      </w:pPr>
    </w:p>
    <w:p w:rsidR="00944C5B" w:rsidRDefault="00944C5B">
      <w:pPr>
        <w:pStyle w:val="1"/>
        <w:spacing w:line="360" w:lineRule="auto"/>
        <w:jc w:val="center"/>
        <w:rPr>
          <w:rFonts w:ascii="Bookman Old Style" w:hAnsi="Bookman Old Style"/>
          <w:b/>
          <w:bCs/>
          <w:sz w:val="48"/>
        </w:rPr>
      </w:pPr>
    </w:p>
    <w:p w:rsidR="00944C5B" w:rsidRDefault="00944C5B">
      <w:pPr>
        <w:pStyle w:val="1"/>
        <w:spacing w:line="360" w:lineRule="auto"/>
        <w:jc w:val="center"/>
        <w:rPr>
          <w:rFonts w:ascii="Bookman Old Style" w:hAnsi="Bookman Old Style"/>
          <w:b/>
          <w:bCs/>
          <w:sz w:val="48"/>
        </w:rPr>
      </w:pPr>
    </w:p>
    <w:p w:rsidR="00944C5B" w:rsidRDefault="00944C5B">
      <w:pPr>
        <w:pStyle w:val="1"/>
        <w:spacing w:line="360" w:lineRule="auto"/>
        <w:jc w:val="center"/>
        <w:rPr>
          <w:rFonts w:ascii="Bookman Old Style" w:hAnsi="Bookman Old Style"/>
          <w:b/>
          <w:bCs/>
          <w:sz w:val="48"/>
        </w:rPr>
      </w:pPr>
    </w:p>
    <w:p w:rsidR="00944C5B" w:rsidRDefault="00944C5B">
      <w:pPr>
        <w:pStyle w:val="1"/>
        <w:spacing w:line="360" w:lineRule="auto"/>
        <w:jc w:val="center"/>
        <w:rPr>
          <w:rFonts w:ascii="Bookman Old Style" w:hAnsi="Bookman Old Style"/>
          <w:b/>
          <w:bCs/>
          <w:sz w:val="48"/>
        </w:rPr>
      </w:pPr>
    </w:p>
    <w:p w:rsidR="00944C5B" w:rsidRDefault="007E6627">
      <w:pPr>
        <w:pStyle w:val="1"/>
        <w:spacing w:line="360" w:lineRule="auto"/>
        <w:jc w:val="center"/>
        <w:rPr>
          <w:rFonts w:ascii="Bookman Old Style" w:hAnsi="Bookman Old Style"/>
          <w:b/>
          <w:bCs/>
          <w:sz w:val="48"/>
        </w:rPr>
      </w:pPr>
      <w:r>
        <w:rPr>
          <w:rFonts w:ascii="Bookman Old Style" w:hAnsi="Bookman Old Style"/>
          <w:b/>
          <w:bCs/>
          <w:sz w:val="48"/>
        </w:rPr>
        <w:t>ХРОНІЧНИЙ ГЛОМЕРУЛОНЕЙРИТ.</w:t>
      </w:r>
    </w:p>
    <w:p w:rsidR="00944C5B" w:rsidRDefault="007E6627">
      <w:pPr>
        <w:pStyle w:val="1"/>
        <w:spacing w:line="360" w:lineRule="auto"/>
        <w:jc w:val="center"/>
        <w:rPr>
          <w:rFonts w:ascii="Bookman Old Style" w:hAnsi="Bookman Old Style"/>
          <w:b/>
          <w:bCs/>
          <w:sz w:val="48"/>
        </w:rPr>
      </w:pPr>
      <w:r>
        <w:rPr>
          <w:rFonts w:ascii="Bookman Old Style" w:hAnsi="Bookman Old Style"/>
          <w:b/>
          <w:bCs/>
          <w:sz w:val="48"/>
        </w:rPr>
        <w:t>СУЧАСНІ МЕТОДИ ДОСЛІДЖЕННЯ.</w:t>
      </w:r>
    </w:p>
    <w:p w:rsidR="00944C5B" w:rsidRDefault="007E6627">
      <w:pPr>
        <w:spacing w:line="360" w:lineRule="auto"/>
        <w:jc w:val="center"/>
        <w:rPr>
          <w:rFonts w:ascii="Bookman Old Style" w:hAnsi="Bookman Old Style"/>
          <w:b/>
          <w:bCs/>
          <w:sz w:val="48"/>
          <w:lang w:val="uk-UA"/>
        </w:rPr>
      </w:pPr>
      <w:r>
        <w:rPr>
          <w:rFonts w:ascii="Bookman Old Style" w:hAnsi="Bookman Old Style"/>
          <w:b/>
          <w:bCs/>
          <w:sz w:val="48"/>
          <w:lang w:val="uk-UA"/>
        </w:rPr>
        <w:t>ДОГЛЯД ЗА ХВОРИМИ</w:t>
      </w:r>
    </w:p>
    <w:p w:rsidR="00944C5B" w:rsidRDefault="00944C5B">
      <w:pPr>
        <w:pStyle w:val="1"/>
        <w:spacing w:line="360" w:lineRule="auto"/>
        <w:ind w:left="7080"/>
      </w:pPr>
    </w:p>
    <w:p w:rsidR="00944C5B" w:rsidRDefault="00944C5B">
      <w:pPr>
        <w:pStyle w:val="1"/>
        <w:spacing w:line="360" w:lineRule="auto"/>
        <w:ind w:left="7080"/>
      </w:pPr>
    </w:p>
    <w:p w:rsidR="00944C5B" w:rsidRDefault="00944C5B">
      <w:pPr>
        <w:pStyle w:val="1"/>
        <w:spacing w:line="360" w:lineRule="auto"/>
        <w:ind w:left="7080"/>
      </w:pPr>
    </w:p>
    <w:p w:rsidR="00944C5B" w:rsidRDefault="00944C5B">
      <w:pPr>
        <w:pStyle w:val="1"/>
        <w:spacing w:line="360" w:lineRule="auto"/>
        <w:ind w:left="7080"/>
      </w:pPr>
    </w:p>
    <w:p w:rsidR="00944C5B" w:rsidRDefault="00944C5B">
      <w:pPr>
        <w:pStyle w:val="1"/>
        <w:spacing w:line="360" w:lineRule="auto"/>
        <w:ind w:left="7080"/>
      </w:pPr>
    </w:p>
    <w:p w:rsidR="00944C5B" w:rsidRDefault="00944C5B">
      <w:pPr>
        <w:pStyle w:val="1"/>
        <w:spacing w:line="360" w:lineRule="auto"/>
        <w:ind w:left="7080"/>
      </w:pPr>
    </w:p>
    <w:p w:rsidR="00944C5B" w:rsidRDefault="00944C5B">
      <w:pPr>
        <w:pStyle w:val="1"/>
        <w:spacing w:line="360" w:lineRule="auto"/>
        <w:ind w:left="7080"/>
      </w:pPr>
    </w:p>
    <w:p w:rsidR="00944C5B" w:rsidRDefault="00944C5B">
      <w:pPr>
        <w:pStyle w:val="1"/>
        <w:spacing w:line="360" w:lineRule="auto"/>
        <w:ind w:left="7080"/>
      </w:pPr>
    </w:p>
    <w:p w:rsidR="00944C5B" w:rsidRDefault="00944C5B">
      <w:pPr>
        <w:spacing w:line="360" w:lineRule="auto"/>
        <w:ind w:left="7080"/>
        <w:rPr>
          <w:sz w:val="28"/>
          <w:lang w:val="uk-UA"/>
        </w:rPr>
      </w:pPr>
    </w:p>
    <w:p w:rsidR="00944C5B" w:rsidRDefault="007E6627">
      <w:pPr>
        <w:spacing w:line="360" w:lineRule="auto"/>
        <w:jc w:val="center"/>
        <w:rPr>
          <w:b/>
          <w:bCs/>
          <w:sz w:val="32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32"/>
          <w:lang w:val="uk-UA"/>
        </w:rPr>
        <w:t>Хронічний гломерулонефрит</w:t>
      </w:r>
    </w:p>
    <w:p w:rsidR="00944C5B" w:rsidRDefault="007E6627">
      <w:pPr>
        <w:pStyle w:val="a3"/>
      </w:pPr>
      <w:r>
        <w:t>Хронічний гломерулонефрит – хронічне дифузне захворюванням нирок для якого характерна наявність імунологічних і клініко-морфологічних змін, передусім у клубочках.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Клінічно – ХЇН поділяється на латентну гематуричну гіпертонічну, нефротичну і змішану форму єдиного морфологічного еквівалента захворювання немає. На основі комплексного морфологічного дослідження ниркової тканини виділили декілька типів, кожен із них відносно самостійний за винятком фіброплатичного ГН і вторинного зморщеної нирки.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Мембанозний гламерулонефрит, захворювання характеризується скритим початком хронічних перебігам, клінічно проявляється протеїнурією, іноді з гематурією. Це імунокомплексний ГН, причому в 2/3 випадків антиген залишається невідомим.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Таким антигеном може бути пухлинний карциноембріональний антиген, антиген щіткової камки епітелія проксимальних канальців.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При гістологічних дослідженнях ниркової тканини у всіх клубочках виявляється дифузне потовщення стінок.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Основним діагностичним критерієм на світ оптичному “рівні служать”, пунктирність  “і шипи” базальних мембран капілярів, які виявляються при дослідженні тонких зрізів.</w:t>
      </w:r>
    </w:p>
    <w:p w:rsidR="00944C5B" w:rsidRDefault="007E6627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латентний – виявляється. Ізольованим сечовим синдром, іноді з помірною артеріальною гіпертензією;</w:t>
      </w:r>
    </w:p>
    <w:p w:rsidR="00944C5B" w:rsidRDefault="007E6627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гематуричний – постійна гематурія;</w:t>
      </w:r>
    </w:p>
    <w:p w:rsidR="00944C5B" w:rsidRDefault="007E6627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гіпертонічний – артеріальна гіпертонія з незначними змінами в сечі;</w:t>
      </w:r>
    </w:p>
    <w:p w:rsidR="00944C5B" w:rsidRDefault="007E6627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нефротичний – набряки виражені протеїнурія;</w:t>
      </w:r>
    </w:p>
    <w:p w:rsidR="00944C5B" w:rsidRDefault="007E6627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підгострий – швидко прогресуючий гломерулонефрит, який характеризуються нефротичним синдромом, артеріальною гіпертонією і швидко. Виникають нирковою недостатністю. При цьому варіанті захворювання розпочинається гострий гломерулонефрит, однак  симптоми не мають зворотнього розвитку, стабілізуються, розвивається ниркова недостатність.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сичі виявляється протеїнурія, гематурія, циліндрія, іноді помірна лейкоцитурія. У крові в період загострення може відзначатися помірним лейкоцитозом, прискорення ШОЕ, гіпер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– глобуліномія.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Рівень креатині ну, сечовини, а також величина клубочком фільтрації залежить від функціонального стану нирок.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Лікування</w:t>
      </w:r>
      <w:r>
        <w:rPr>
          <w:sz w:val="28"/>
          <w:lang w:val="uk-UA"/>
        </w:rPr>
        <w:t xml:space="preserve"> призначають залежно від клінічної форми захворювання. При лікуванні слід дотримуватися певного режиму, уникати переохолоджень, фізичних навантажень психоемоційних стресів. Категорично заборонено працювати у нічний час. Щорічно, а при необхідності частіше, хворого госпіталізують для стаціонарного лікування.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Дієта також залежить від форми захворювання. Наприклад при латентній формі призначають загальний стіл із обмеженням солі до 10 г на добу. При нефротичній і гіпертонічній формах кількість солі обмежують до 8-6 г на добу.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Медикаментозна терапія передбачає призначення: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а) патогенетичних засобів( кортикостероїдів, цитостатики аміно хінолінові препарати);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б) гіпотензивних препаратів (клофелін, еналапріл, каптопрес);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в) діуретиків (лазікс, фурасемід);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г) антибіотиків (ципронат, амоксиклав)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Хворі хронічним гломерулонефритом  повинні перебувати на диспансерному обліку і один раз на місяць здавати на дослідження сечу. Таким хворим рекомендоване санітарно-курортне лікування в зоні сухого та жаркого клімату. Оскільки в цих умовах виникає розширення периферичних судин, поліпшується ниркова геодинаміка.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Догляд за хворими. Необхідно стежити за добовим діурезом. Сечу треба збирати протягом доби в одну посудину, а зранку записувати скільки рідини випито за цей час. Ці дані м/с щоденно  заносить в історію хвороби. В осіб хворих на хронічний гломерулонефрит, шкіра суха, нерідко потріскана. Це сприяє її інфікуванню. На шкірі можуть з’являтися виразки і навіть пролежні. Тому м/с повинна щоденно здійснювати профілактичні дії: перестилати постіль, протирати шкіру дез. розчинами.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Слід знати, що хронічний гломерулонефрит може призвести до виникнення ХНН та хронічної уремії.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Під час уремії у крові накопичується надлишок продуктів білкового обміну (сечовини, креатиніну, індикану) Порушується рівновага електролітів, розвивається ацидоз. Хворі скаржаться на відсутність апетиту, нудоту блювання, тяжкість під грудьми, пронос. Язик обкладений брудно-коричневим нальотом, з рота відгонить сечею.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разі уремії хворому необхідно забезпечити повний покій, призначити дієту із значним обмеженням тваринних білків, насамперед за рахунок м’яса яєць.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набряки не значні, а у хворого часте блювання, їжу потрібно обов’язково підсолювати, тому що з блювотними масами людина втрачає </w:t>
      </w:r>
      <w:r>
        <w:rPr>
          <w:sz w:val="28"/>
          <w:lang w:val="en-US"/>
        </w:rPr>
        <w:t>NaCl</w:t>
      </w:r>
      <w:r>
        <w:rPr>
          <w:sz w:val="28"/>
          <w:lang w:val="uk-UA"/>
        </w:rPr>
        <w:t>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Якщо видільна функція нирок збережена, хворому необхідно давати пити багато рідини 2-4 л. Краще солодкої, настої трав, соки, мінеральну воду.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 прогресування уремії спостерігається схильність до інфекції. Нерідко розвивається пневмонія, що призводить до різкого погіршення функції нирок. Окрім того з’являється і прогресує неврологічна симптоматика і з’являється судоми, енцефалопатія, може виникнути уремічна кома.</w:t>
      </w:r>
    </w:p>
    <w:p w:rsidR="00944C5B" w:rsidRDefault="00944C5B">
      <w:pPr>
        <w:spacing w:line="360" w:lineRule="auto"/>
        <w:ind w:firstLine="708"/>
        <w:jc w:val="both"/>
        <w:rPr>
          <w:sz w:val="28"/>
          <w:lang w:val="uk-UA"/>
        </w:rPr>
      </w:pPr>
    </w:p>
    <w:p w:rsidR="00944C5B" w:rsidRDefault="007E6627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Використана література: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“Медсестринство в терапії” О.К. Демченко 2001 р.</w:t>
      </w:r>
    </w:p>
    <w:p w:rsidR="00944C5B" w:rsidRDefault="007E662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“Внутрішні хвороби” Левченко, 1995 р.</w:t>
      </w:r>
    </w:p>
    <w:p w:rsidR="00944C5B" w:rsidRDefault="00944C5B">
      <w:pPr>
        <w:spacing w:line="360" w:lineRule="auto"/>
        <w:rPr>
          <w:sz w:val="28"/>
          <w:lang w:val="uk-UA"/>
        </w:rPr>
      </w:pPr>
    </w:p>
    <w:p w:rsidR="00944C5B" w:rsidRDefault="00944C5B">
      <w:pPr>
        <w:spacing w:line="360" w:lineRule="auto"/>
        <w:rPr>
          <w:sz w:val="28"/>
          <w:lang w:val="uk-UA"/>
        </w:rPr>
      </w:pPr>
      <w:bookmarkStart w:id="0" w:name="_GoBack"/>
      <w:bookmarkEnd w:id="0"/>
    </w:p>
    <w:sectPr w:rsidR="00944C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B6771"/>
    <w:multiLevelType w:val="hybridMultilevel"/>
    <w:tmpl w:val="ADE0E244"/>
    <w:lvl w:ilvl="0" w:tplc="B1408BDA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27"/>
    <w:rsid w:val="0036757E"/>
    <w:rsid w:val="007E6627"/>
    <w:rsid w:val="009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41A9F-413F-45BF-B927-ED001E63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8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Чернівецька ОКЛ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4940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Чернівецька ОКЛ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2014-08-16T13:12:00Z</dcterms:created>
  <dcterms:modified xsi:type="dcterms:W3CDTF">2014-08-16T13:12:00Z</dcterms:modified>
  <cp:category>Медицина. Безпека життєдіяльності</cp:category>
</cp:coreProperties>
</file>