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81" w:rsidRPr="00B963D3" w:rsidRDefault="002C4B81" w:rsidP="002C4B81">
      <w:pPr>
        <w:spacing w:before="120"/>
        <w:jc w:val="center"/>
        <w:rPr>
          <w:b/>
          <w:bCs/>
          <w:sz w:val="32"/>
          <w:szCs w:val="32"/>
        </w:rPr>
      </w:pPr>
      <w:r w:rsidRPr="00B963D3">
        <w:rPr>
          <w:b/>
          <w:bCs/>
          <w:sz w:val="32"/>
          <w:szCs w:val="32"/>
        </w:rPr>
        <w:t>О возможности применения структурно-демографической теории при изучении истории России XVI века</w:t>
      </w:r>
    </w:p>
    <w:p w:rsidR="002C4B81" w:rsidRPr="00B963D3" w:rsidRDefault="002C4B81" w:rsidP="002C4B81">
      <w:pPr>
        <w:spacing w:before="120"/>
        <w:jc w:val="center"/>
        <w:rPr>
          <w:sz w:val="28"/>
          <w:szCs w:val="28"/>
        </w:rPr>
      </w:pPr>
      <w:r w:rsidRPr="00B963D3">
        <w:rPr>
          <w:sz w:val="28"/>
          <w:szCs w:val="28"/>
        </w:rPr>
        <w:t xml:space="preserve">Нефедов С.А.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Не так давно в работе известного американского историка Честера Даннига[1] было высказано предположение о возможности использования при изучении истории России XVI в. структурно-демографической теории Дж. Голдстоуна[2]. Эта теория опирается на исследования известной французской школы «Анналов» (в частности, на работы Ф. Броделя, Э. Леруа Ладури, Э. Лабрусса, П, Шоню[3]), а также ряда известных английских немецких историков, среди которых в первую очередь, необходимо назвать имена В. Абеля, и М. Постана и К. Хеллинера[4].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Структурно-демографическая концепция имеет глобальный характер и предназначена для объяснения социально-экономических кризисов, происходивших в средние века и в новое время в различных странах Европы и Азии. Исходным пунктом демографического подхода является утверждение о том, что эти кризисы, как правило, были вызваны перенаселением. Рост населения приводил к нехватке пашен, которая проявлялась в крестьянском малоземелье, в росте цен, падении реальной заработной платы, частых голодных годах. Низкий уровень жизни, постоянное недоедание способствовали распространению эпидемий. С другой стороны, беднеющее население не могло платить налоги в прежних размерах, и это приводило к финансовому кризису государства. По мере сокращения доходов обострялась борьба внутри элиты за их распределение. В конечном счете, кризис находил выражение в системной катастрофе - в катастрофическом голоде и эпидемиях, в междоусобной борьбе, в резком ослаблении государства, открывающем дорогу вторжениям врагов. Катастрофа приводила к значительному сокращению численности населения, после чего начинался новый «экологический цикл». Изобилие свободных пашен, недостаток рабочей силы в период после катастрофы было причиной повышения уровня жизни крестьян и быстрого роста населения. Через некоторое время потери восполнялись и начинался новый кризис перенаселения[5].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Честер Даннинг полагает, что демографический подход может использоваться и при объяснении общих тенденций истории России XVI века. В подтверждение своей точки зрения американский историк указывает на такие типичные, с точки зрения демографического подхода, проявления назревающего кризиса как рост населения, сопровождавшийся ростом цен и обострением социальных конфликтов во второй половине столетия[6]. Однако Ч. Даннинг предложил лишь краткий анализ общих тенденций на протяжении всего XVI века, полагая, что рост населения и цен продолжался вплоть до кризиса времен Смуты. В этой заметке мы попытаемся несколько расширить и конкретизировать аргументацию Ч. Даннинга, и более подробно проследить динамику основных переменных, которыми оперирует структурно-демографическая теория. Автор не предполагает, что его выводы относительно возможности применения этой теории к изучению истории России являются окончательными, мы пытаемся лишь очертить контуры возможной дискуссии, которая более подробно рассмотрит этот вопрос.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Ключевой переменной структурно-демографической теории является численность населения. Рост населения в мирных условиях свидетельствует о наличии продовольственных ресурсов, замедление и прекращение роста - об ухудшении продовольственной ситуации. Статистические данные, позволяющие проиллюстрировать рост населения в России XVI века, относятся в основном к северо-западу страны. Известно, что в Шелонской и Бежецкой пятинах новгородчины численность населения увеличилась за полвека на 20-40%, соответственно возросла и площадь пашни. Для центра, в отличие от новгородчины, нет объемных статистических материалов, – имеются лишь отдельные примеры, указывающие на рост числа дворов в отдельных волостках или имениях в 1,5, в 2, в 3 раза. Нормой крестьянского участка в центральных областях в начале столетия считалась выть – пять десятин в поле, однако в середине века чаще встречаются наделы в 2?, 3, 4 десятины. Об увеличении населения говорит так же быстрый рост городов – их общее число увеличилось за полвека с 96 до 160. Эти и другие имеющиеся данные позволили А. И. Копаневу утверждать, что за первую половину XVI века население в целом увеличилось в 1,5 раза и достигло 9-10 млн[7].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В соответствии с демографической теорией рост населения должен был привести к исчерпанию ресурсов свободных земель, нехватке продовольствия, что в свою очередь, влечет замедление роста населения. «Если в начале XVI века на периферии старых владений еще есть резерв годных к освоению земель, - отмечает Л. И. Ивина, - то к середине XVI века он полностью исчерпывается, как например, во владениях Троице-Сергиева монастыря близ Углича... Плотность поселений внутри владений возрастает... Увеличиваются сами поселения, многие деревни превращаются в сельца и села»[8]. В отдельных районах имеются явные свидетельства нехватки земли и перенаселения. Отмечается нехватка земли в Белозерском крае; здесь на двор приходилось лишь по 6 десятин и, по расчетам специалистов, зерна не хватало до следующего урожая[9]. Тяжелое положение сложилось в некоторых пятинах новгородчины: по расчетам петербургских историков в первой половине XVI века зерновое производство на поместных землях Водской и Деревской пятин не обеспечивало минимального уровня потребления в 15 пудов хлеба* на человека[10]. Следствием постоянного недоедания была стагнация численности населения. Так, известно, что во второй половине XV века население Водской и Деревской пятин значительно возросло, но затем оно стало уменьшаться. С 1500 по 1540 год население уменьшилось в Водской пятине на 17%, а в Деревской пятине - на 13%. Недостаток хлеба заставлял крестьян заниматься торговлей и промыслами - или уходить в более хлебные районы. Низкий уровень потребления способствовал увеличению смертности от эпидемий; при Василии III летописи по крайней мере четыре раза отмечают в этом районе мор - в то время как в центре страны эпидемии не упоминаются[11]. Таким образом, мы видим, что рост населения достиг той точки, которая характеризуется исчерпанием природных ресурсов - и в результате население стало сокращаться. Конечно, это перенаселение было относительным - население достигла максимума, обусловленного уровнем развития сельского хозяйства и уровнем повинностей, то есть социально-экономическими характеристиками конкретного общества. То обстоятельство, что стагнация началась именно на Северо-Западе, по-видимому, в немалой степени объясняется скудными почвами этого региона и высоким уровнем ренты, сохранившимся здесь со времен независимой Новгородской республики[12].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_____________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* Здесь и далее исчисление ведется в пудах «хлеба»: четверть ржи (4 пуда) плюс четверть овса (2,7 пуда) составляют «юфть» - 6,7 пуда «хлеба». Четверть овса обычно стоила в 2 раза дешевле ржи, поэтому цена пуда «хлеба» составляла 9/10 от цены пуда ржи.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Таким образом, ситуацию на Северо-Западе можно трактовать как ситуацию экологического равновесия, когда увеличение смертности от недоедания и эпидемий компенсирует естественную рождаемость. Экологическое равновесие обычно не бывает устойчивым, случайные колебания внешних факторов, большой неурожай, резкий рост налогов или эпидемия, могут привести к катастрофе, подобной той, которая произошла в Европе в середине XIV века. В те времена связь между недоеданием и «Черной смертью» была чем-то очевидным; такого же мнения придерживаются и многие современные исследователи[13].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Другой важной переменной, акцентируемой структурно-демографической концепцией, является рост цен. По новгородским источникам, в 1470-1500 годах цены на рожь увеличились с 7 до 10 денег за четверть, но затем рост приостановился до середины 20-х годов. Впоследствии цены снова стали расти, в 1532 году цена в Иосифо-Волоколамском монастыре составляла 23 деньги, во время неурожая 1543-44 годов цены на новгородчине поднялись до 30-40 денег. В середине XVI века в Россию после долгого перерыва вновь пришел голод; в 1548-49 годах голод охватил северные районы страны. Голод сопровождали эпидемии; в 1552 году разразилась страшная эпидемия в Новгороде и Пскове; в Пскове погибло 30 тысяч человек. В 1556/57 году снова пришел голод, свирепствовавший в Заволжье и на Севере; в результате голода и бегства крестьян на юг в северных областях началось запустение. В конце 50-х годов на Двине пустовало до 40% пашни[14].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Однако, уточняя построения Ч. Даннинга, нужно отметить, что реальным мерилом избытка или недостатка ресурсов в экономической истории являются не собственно цены, а реальная заработная плата - заработная плата, исчисленная в килограммах зерна. В. Абель в своем фундаментальном исследовании привел десятки графиков, дающих сравнительный анализ динамики реальной заработной платы в различных странах на протяжении XVI- XVIII веков. На этих графиках сопутствующее росту населения падение реальной заработной платы свидетельствует о нехватке ресурсов и перенаселении[15]. Приложимо ли общеэкономическое понятие реальной заработной платы в условиях России XVI века? Мы полагаем, что приложимо, коль скоро в те времена существовали свободные работники на вольном найме. Около 1520 года обычная дневная оплата неквалифицированного работника в Москве составляла полторы деньги в день, а четверть ржи стоила 10 денег, на дневную плату рабочий мог купить около 11 кг хлеба. По европейским меркам, это весьма высокий уровень оплаты, свидетельствующей об относительном изобилии продовольственных ресурсов. В 1568 году работник на Белоозере получал 1 деньгу в день, а четверть ржи стоила 20 денег, на дневную зарплату можно было купить 3,6 кг зерна. Таким образом, реальная заработная плата за полвека уменьшилась втрое, что свидетельствует о росте населения и нехватке продовольственных ресурсов. Дневная плата в 3,6 кг кажется довольно большой, но нужно учесть, что поденщиков брали на короткие сроки, что большую часть года они не имели работы (в конце XIX века оплата при поденном найме летом в 3 раза превосходила дневную оплату при годовом найме). В действительности уровень дневной оплаты в 3-4 кг – это был уровень, характерный для времен кризиса и голода, во времена «кризиса XVII века» в Европе уровень оплаты составлял 4-5 кг[16].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Правда, в нашем распоряжении имеются лишь единичные данные о поденном найме; гораздо больше информации имеется об условиях годового найма монастырских работников. Монастыри привлекали для различных работ наемных работников, «казаков» или «детенышей», иногда на короткие сроки, но чаще на год; эти работники получали от монастыря продукты и денежное содержание, «оброк». Большинство «детенышей» были взрослыми людьми, они заключали устный договор с монахами, и, получая оброк авансом, представляли поручителей, которые отвечали за их добросовестный труд своим имуществом. «Детеныши» были вольны уйти из монастыря, но при этом должны были вернуть оброк[17]. В 50-х годах оброк детенышей в Иосифо-Волоколамском монастыре составлял 80 денег в год, что в переводе на хлеб эквивалентно 1,2 кг хлеба в день[18]. Впоследствии мы видим столь низкий уровень оплаты лишь один раз, во время голода 1588-89 годов[19] – однако тогда этот голодный уровень держался лишь один год, а 50-х годах это была обычная плата. Таким образом уровень жизни этой категории населения в 50-х годах был примерно таким же, как в голодные годы, что свидетельствует об ухудшении продовольственной ситуации по сравнению с началом столетия.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Таким образом, первые симптомы надвигающегося социально-экономического кризиса появились задолго до Ливонской войны и «опричнины». Россия не представляла собой экономического единства, в ней были относительно богатые и относительно бедные, перенаселенные области. Обширные пространства Московии производили обманчивое впечатление – в действительности суровый климат и бедные почвы приводили к тому, что многие районы не могли прокормить свое население. Север и новгородчина издавна относились к бедным областям; здесь часто бывали неурожаи, сюда привозили хлеб из центральных районов. В то же время существовали относительно благополучные области; в Замосковном крае положение оставалось довольно благоприятным, и здесь до 1560 года продолжался рост населения. Однако в 1560-61 годах голод пришел и в Замосковье, цена ржи в центральных районах поднялась до 50-60 денег за четверть. Характерно, что в качестве причины голода старцы Иосифо-Волоколамского монастыря указали на недостаток угодий и на рост государевых повинностей[20].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В 1558 году началась Ливонская война. Война была тяжелой: события обернулись так, что России пришлось сражаться одновременно с ливонцами, Швецией, Литвой и с Крымом. С началом войны налоги увеличились примерно с 1,7 до 2,8 пудов хлеба на душу населения - однако оказалось, что этого недостаточно. Необходимо было вводить новые военные налоги – и в 1566 году царь созвал собор, чтобы решить самый важный вопрос: нужно ли продолжать войну? В конечном счете собор практически единодушно высказался за продолжение войны и за увеличение налогов[21]. Это было роковое решение, которое привело к катастрофе.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6"/>
        <w:gridCol w:w="1606"/>
        <w:gridCol w:w="1606"/>
      </w:tblGrid>
      <w:tr w:rsidR="002C4B81" w:rsidRPr="00B963D3" w:rsidTr="000161C7">
        <w:trPr>
          <w:tblCellSpacing w:w="0" w:type="dxa"/>
        </w:trPr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1525-1535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1536-1545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1552-1556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1561-1562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1568-1569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1582-1584 </w:t>
            </w:r>
          </w:p>
        </w:tc>
      </w:tr>
      <w:tr w:rsidR="002C4B81" w:rsidRPr="00B963D3" w:rsidTr="000161C7">
        <w:trPr>
          <w:tblCellSpacing w:w="0" w:type="dxa"/>
        </w:trPr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0,3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0,3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1,7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2,8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3,6 </w:t>
            </w:r>
          </w:p>
        </w:tc>
        <w:tc>
          <w:tcPr>
            <w:tcW w:w="833" w:type="pct"/>
          </w:tcPr>
          <w:p w:rsidR="002C4B81" w:rsidRPr="00B963D3" w:rsidRDefault="002C4B81" w:rsidP="000161C7">
            <w:r w:rsidRPr="00B963D3">
              <w:t xml:space="preserve">1,0 </w:t>
            </w:r>
          </w:p>
        </w:tc>
      </w:tr>
    </w:tbl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Табл. 1. Динамика государственных повинностей в Бежецкой пятине (в пудах хлеба на душу населения) [22] 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После собора 1566 года налоги были еще раз увеличены, теперь они составляли около 3,5 пудов на душу населения, в два раза больше, чем в начале 50-х годов. Здесь необходимо вернуться к ситуации, которая сложилось к середине XVI на новгородчине. Мы видели, что в некоторых пятинах потребление крестьян было ниже минимума в 15 пудов на душу населения, что крестьяне часто голодали и население пятин уменьшалось. При отсутствии запасов любой большой неурожай мог вызвать голод - а требование повышенных налогов было равносильно неурожаю. Откуда крестьяне могли взять лишние 3-4 пуда на душу, чтобы заплатить увеличившиеся налоги? Изъятие необходимого для пропитания зерна должно было привести к катастрофическому голоду и к вспышке эпидемий. Материалы «Аграрной истории Северо-Запада России» показывают нарастание голода и эпидемий в Деревской пятине начиная с 1560 года (Табл. 2).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701"/>
        <w:gridCol w:w="651"/>
        <w:gridCol w:w="651"/>
        <w:gridCol w:w="651"/>
        <w:gridCol w:w="651"/>
        <w:gridCol w:w="649"/>
        <w:gridCol w:w="649"/>
        <w:gridCol w:w="650"/>
        <w:gridCol w:w="650"/>
        <w:gridCol w:w="650"/>
        <w:gridCol w:w="650"/>
        <w:gridCol w:w="650"/>
        <w:gridCol w:w="650"/>
      </w:tblGrid>
      <w:tr w:rsidR="002C4B81" w:rsidRPr="00B963D3" w:rsidTr="000161C7">
        <w:trPr>
          <w:tblCellSpacing w:w="0" w:type="dxa"/>
        </w:trPr>
        <w:tc>
          <w:tcPr>
            <w:tcW w:w="546" w:type="pct"/>
          </w:tcPr>
          <w:p w:rsidR="002C4B81" w:rsidRPr="00B963D3" w:rsidRDefault="002C4B81" w:rsidP="000161C7">
            <w:r w:rsidRPr="00B963D3">
              <w:t xml:space="preserve">Причины запустения </w:t>
            </w:r>
          </w:p>
        </w:tc>
        <w:tc>
          <w:tcPr>
            <w:tcW w:w="367" w:type="pct"/>
          </w:tcPr>
          <w:p w:rsidR="002C4B81" w:rsidRPr="00B963D3" w:rsidRDefault="002C4B81" w:rsidP="000161C7">
            <w:r w:rsidRPr="00B963D3">
              <w:t xml:space="preserve">1551-60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1561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1562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1563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1564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1565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1566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1567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1568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1569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1570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1571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1572 </w:t>
            </w:r>
          </w:p>
        </w:tc>
      </w:tr>
      <w:tr w:rsidR="002C4B81" w:rsidRPr="00B963D3" w:rsidTr="000161C7">
        <w:trPr>
          <w:tblCellSpacing w:w="0" w:type="dxa"/>
        </w:trPr>
        <w:tc>
          <w:tcPr>
            <w:tcW w:w="546" w:type="pct"/>
          </w:tcPr>
          <w:p w:rsidR="002C4B81" w:rsidRPr="00B963D3" w:rsidRDefault="002C4B81" w:rsidP="000161C7">
            <w:r w:rsidRPr="00B963D3">
              <w:t xml:space="preserve">голод </w:t>
            </w:r>
          </w:p>
        </w:tc>
        <w:tc>
          <w:tcPr>
            <w:tcW w:w="367" w:type="pct"/>
          </w:tcPr>
          <w:p w:rsidR="002C4B81" w:rsidRPr="00B963D3" w:rsidRDefault="002C4B81" w:rsidP="000161C7">
            <w:r w:rsidRPr="00B963D3">
              <w:t xml:space="preserve">1,8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2,3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2,8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3,3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3,8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4,4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5,4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7,4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9,5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12,9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18,1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19,1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19,6 </w:t>
            </w:r>
          </w:p>
        </w:tc>
      </w:tr>
      <w:tr w:rsidR="002C4B81" w:rsidRPr="00B963D3" w:rsidTr="000161C7">
        <w:trPr>
          <w:tblCellSpacing w:w="0" w:type="dxa"/>
        </w:trPr>
        <w:tc>
          <w:tcPr>
            <w:tcW w:w="546" w:type="pct"/>
          </w:tcPr>
          <w:p w:rsidR="002C4B81" w:rsidRPr="00B963D3" w:rsidRDefault="002C4B81" w:rsidP="000161C7">
            <w:r w:rsidRPr="00B963D3">
              <w:t xml:space="preserve">мор </w:t>
            </w:r>
          </w:p>
        </w:tc>
        <w:tc>
          <w:tcPr>
            <w:tcW w:w="367" w:type="pct"/>
          </w:tcPr>
          <w:p w:rsidR="002C4B81" w:rsidRPr="00B963D3" w:rsidRDefault="002C4B81" w:rsidP="000161C7">
            <w:r w:rsidRPr="00B963D3">
              <w:t xml:space="preserve">2,0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2,2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2,4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2,6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2,9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3,0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3,6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4,6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5,1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6,2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10,1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10,9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11,1 </w:t>
            </w:r>
          </w:p>
        </w:tc>
      </w:tr>
      <w:tr w:rsidR="002C4B81" w:rsidRPr="00B963D3" w:rsidTr="000161C7">
        <w:trPr>
          <w:tblCellSpacing w:w="0" w:type="dxa"/>
        </w:trPr>
        <w:tc>
          <w:tcPr>
            <w:tcW w:w="546" w:type="pct"/>
          </w:tcPr>
          <w:p w:rsidR="002C4B81" w:rsidRPr="00B963D3" w:rsidRDefault="002C4B81" w:rsidP="000161C7">
            <w:r w:rsidRPr="00B963D3">
              <w:t xml:space="preserve">подати </w:t>
            </w:r>
          </w:p>
        </w:tc>
        <w:tc>
          <w:tcPr>
            <w:tcW w:w="367" w:type="pct"/>
          </w:tcPr>
          <w:p w:rsidR="002C4B81" w:rsidRPr="00B963D3" w:rsidRDefault="002C4B81" w:rsidP="000161C7">
            <w:r w:rsidRPr="00B963D3">
              <w:t xml:space="preserve">5,1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6,7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8,3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9,9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11,5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12,6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16,3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20,7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26,1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33,3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39,8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41,0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41,6 </w:t>
            </w:r>
          </w:p>
        </w:tc>
      </w:tr>
      <w:tr w:rsidR="002C4B81" w:rsidRPr="00B963D3" w:rsidTr="000161C7">
        <w:trPr>
          <w:tblCellSpacing w:w="0" w:type="dxa"/>
        </w:trPr>
        <w:tc>
          <w:tcPr>
            <w:tcW w:w="546" w:type="pct"/>
          </w:tcPr>
          <w:p w:rsidR="002C4B81" w:rsidRPr="00B963D3" w:rsidRDefault="002C4B81" w:rsidP="000161C7">
            <w:r w:rsidRPr="00B963D3">
              <w:t xml:space="preserve">"дорога" </w:t>
            </w:r>
          </w:p>
        </w:tc>
        <w:tc>
          <w:tcPr>
            <w:tcW w:w="367" w:type="pct"/>
          </w:tcPr>
          <w:p w:rsidR="002C4B81" w:rsidRPr="00B963D3" w:rsidRDefault="002C4B81" w:rsidP="000161C7">
            <w:r w:rsidRPr="00B963D3">
              <w:t xml:space="preserve">1,0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1,1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1,3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1,4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1,6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2,0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2,8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3,6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4,9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7,0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9,1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9,4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9,7 </w:t>
            </w:r>
          </w:p>
        </w:tc>
      </w:tr>
      <w:tr w:rsidR="002C4B81" w:rsidRPr="00B963D3" w:rsidTr="000161C7">
        <w:trPr>
          <w:tblCellSpacing w:w="0" w:type="dxa"/>
        </w:trPr>
        <w:tc>
          <w:tcPr>
            <w:tcW w:w="546" w:type="pct"/>
          </w:tcPr>
          <w:p w:rsidR="002C4B81" w:rsidRPr="00B963D3" w:rsidRDefault="002C4B81" w:rsidP="000161C7">
            <w:r w:rsidRPr="00B963D3">
              <w:t xml:space="preserve">опричнина </w:t>
            </w:r>
          </w:p>
        </w:tc>
        <w:tc>
          <w:tcPr>
            <w:tcW w:w="367" w:type="pct"/>
          </w:tcPr>
          <w:p w:rsidR="002C4B81" w:rsidRPr="00B963D3" w:rsidRDefault="002C4B81" w:rsidP="000161C7">
            <w:r w:rsidRPr="00B963D3">
              <w:t xml:space="preserve">0,0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0,0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0,0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0,0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0,0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0,2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1,9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4,4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6,3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7,9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11,2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11,2 </w:t>
            </w:r>
          </w:p>
        </w:tc>
        <w:tc>
          <w:tcPr>
            <w:tcW w:w="340" w:type="pct"/>
          </w:tcPr>
          <w:p w:rsidR="002C4B81" w:rsidRPr="00B963D3" w:rsidRDefault="002C4B81" w:rsidP="000161C7">
            <w:r w:rsidRPr="00B963D3">
              <w:t xml:space="preserve">11,2 </w:t>
            </w:r>
          </w:p>
        </w:tc>
      </w:tr>
    </w:tbl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Табл. 2. Процесс запустения Деревской пятины (в процентах к общему числу обеж по переписи 1500 года)[23]. При «обыске» в 1573 году писцы указывали причины запустения обеж, ухода или гибели хозяев: голод, мор, бегство от податей, от насилия войск, двигавшихся в Ливонию по проходившим по пятине дорогам. Часть обеж запустела от вывоза крестьян в поместья опричников.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Общее впечатление от этой картины – это постоянные бедствия, голод и мор. Увеличение податей вызвало повальное бегство, и судьба бежавших остается неизвестной – многие, вероятно, погибли от голода на дорогах. График говорит о том, что голод и мор, разразившиеся по всей России в 1568-71 годах, были подготовлены протекавшими ранее процессами. В Деревской пятине они означали лишь некоторое усиление голода и мора, которые свирепствовали здесь все 60-е годы.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В конце 60-х годов тревожные сообщения приходят и из других районов. Увеличение налогов должно было привести к сокращению крестьянских запасов, что в случае неурожая было чревато большим голодом. Большой неурожай случался на Руси в среднем каждые 6-7 лет[24], так что катастрофа была неизбежна, дело было только во времени. В 1567/68 годах летописи отмечают неурожай и голод в центральных областях: «Глад был на Руси велик, купили в Москве четверть ржи в полтора рубля»[25]. Обычная цена ржи была 30-40 денег - стало быть, цены возросли в 8-10 раз! Следующий год снова был неурожайным: «Была меженина велика добре, на Москве, и в Твери и на Волоце ржи четверть купили по полутора рубля по шьтидесят алтын и людей много умерло с голоду»[26]. В 1569 году в вотчинах старицкого Успенского монастыря пустовала треть деревень, в имениях Иосифо-Волоколамского монастыря в Рузском уезде не обрабатывалась пятая часть пашни, в имениях Троице-Сергиева монастыря – седьмая часть. В 1570 году следом за голодом пришла чума. В современной историографии считается, что большие эпидемии не приходят сами по себе, что они являются следствием хронического недоедания и падения сопротивляемости организма[27]. «Это была одна из тех страшных эпидемий средневековья, которые возникали примерно один раз в сто лет и оставляли после себя почти полностью обезлюдевшие города и деревни», - писала Е. И. Колычева[28]. «Великий голод» продолжался и во время эпидемии. «Был тогда великий голод, - свидетельствует Г. Штаден, - из-за кусочка хлеба человек убивал человека…»[29] «Даже матери ели своих детей, трупы выкапывали из могил и съедали», - писали Таубе и Крузе[30]. Весной 1571 года монахи Тройце-Сегиевой обители жаловались, что в монастырских вотчинах «крестьяне от глада и от поветрия вымерли», «крестьян... у них во всей троецкой вотчине не осталось ни тридцатого жеребья»[31].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В условиях жестоких войн ослабление одного из противников сразу же влечет военную катастрофу. Перебежчики поспешили донести крымскому хану о трагедии Руси. «На Москве и во всех городах по два года была меженина великая и мор великой», - говорил татарам галицкий сын боярский Сумароков[32]. Хан Девлет-Гирей решил воспользоваться ситуацией, собрал огромное войско и пошел походом на Москву. В мае 1571 года крымцы окружили в Москве русскую армию и сожгли осажденный город, в огне погибли сотни тысяч людей. Татары подвергли страшному опустошению весь Московский уезд и уезды, лежавшие южнее столицы[33].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Каковы были масштабы катастрофы? Наиболее подробные данные по этому вопросу предоставляют новгородские материалы. В Деревской пятине 1/3 обеж была заброшена из-за голода и мора – то есть хозяева погибли; остальные бежали от царевых податей и правежей. В Водской пятине запустело 3/5 всех обеж, но неизвестно, сколько крестьян погибло, а сколько ушло в другие места. В одной из волостей Бежецкой пятины от мора и голода погибло 40% населения. Для центральных областей статистических данных гораздо меньше; имеется, в частности, информация о запустении в расположенных в различных уездах вотчинах Троице-Сергиева и Иосифо-Волоколамского монастырей. В опустошенном татарами Московском уезде в этих вотчинах было заброшено 90% пашни, в Суздальском уезде – 60%, в Муромском уезде – 36%, в Юрьев-Польском уезде – 18%. Масштабы запустения были велики, часть крестьян погибла, некоторые переселились в другие места. Однако массовое переселение во время эпидемии было невозможно: во избежание распространения болезни дороги были перекрыты заставами. Бежать на окраины не имело смысла: 1570-е годы были временем больших восстаний в Поволжье, а южные области в этот период трижды подвергались опустошению кочевниками. Таким образом, крестьянам было некуда уходить, и приведенные выше цифры говорят об огромных масштабах гибели населения[34].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В рамках демографической теории анализ экономических процессов, следующих за катастрофой, был дан в известной статье Майкла Постана, включенной в впоследствии в его классическую монографию «Очерки средневекового сельского хозяйства и общие проблемы средневековой экономики»[35]. Анализируя последствия «Черной Смерти» XIV века, М. Постан подчеркивал следующие основные моменты. Убыль населения приводит к тому, что на смену прежней нехватке земли приходит ее избыток, появляется нехватка рабочей силы. Первым следствием недостатка рабочей силы является резкое возрастание реальной заработной платы (то есть платы, исчисленной в зерне). Вторым следствием является понижение ценности земли, то есть уменьшение земельной ренты, оброков и барщины. Эти выводы М. Постана сделаны на основе анализа положения в различных странах Западной Европы; они приводятся в современных учебниках экономики как пример действия общего закона труда и заработной платы[36].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По расчетам М. Постана, после Великой Чумы реальная заработная плата возросла в 1,7 раза[37]. Такой же, даже более резкий рост мы видим в 1570-х годах в России: в 1576 году работники на вологодчине получали по 3 деньги в день, а четверть ржи стоила 23 деньги[38], таким образом дневная плата составляла 9,3 кг хлеба, она возросла в 2,5 раза.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Резкий рост оплаты монастырских работников в 1570-х годах отмечался многими исследователями - причем Б. Д. Греков еще в 20-х годах предполагал, что оплата выросла вследствие нехватки рабочей силы[39]. Данные об оброках «детенышей» Иосифо-Волоколамского монастыря свидетельствуют, что реальная (и номинальная) заработная плата после катастрофы 1570-71 годов возросла примерно в 2,5 раза[40]. Оплата квалифицированных работников, например, плотников, портных возросла в 2 раза. Подобное увеличение оплаты имело место и в других церковных учреждениях. В Новгородском Софийском Доме оплата дворовых работников увеличилась в 1547-1577 годах с 60 до 120 денег; в Кирило-Белозерском монастыре оборок дворовых слуг возрос в 1568-1581 годах с 42 до 126 денег, а оброк портных – с 90 до 200 денег[41]. М. Постан особо отмечает, что после Великой Чумы оплата чернорабочих увеличилась в большей степени, чем оплата квалифицированных рабочих[42] - это явление мы отмечаем и в России.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По М. Постану, вторым признаком резкого сокращения численности населения является значительное уменьшение земельной ренты. В Англии нехватка рабочей силы привела к тому, что крестьяне и батраки стали передвигаться по стране в поисках лучших условий. Они отказывались занимать освободившиеся после чумы обремененные барщиной тяглые «вилланские» наделы, землевладельцы были вынуждены сдавать эти земли в аренду по пониженным расценкам, и арендная плата упала на 20-30%[43]. Мы наблюдаем аналогичный процесс и в России, здесь наблюдается резкое сокращение величины тяглого надела и распространение аренды по пониженным оброчным ставкам. В первой половине XVI века размеры тяглого надела крестьянина приближались к 1 выти, а аренды за оброк практически не существовало. Теперь же крестьяне отказываются брать полные тяглые наделы, эти наделы сокращаются до 1/3- 1/6 выти; появилось множество безнадельных крестьян, «бобылей». Остальную необходимую им землю крестьяне арендовали у своего или у соседнего землевладельца; с этой не платили казенные налоги, а плата, полагавшаяся землевладельцу, была намного ниже, чем на тяглых землях[44]. Имеющиеся в литературе сведения о размерах оброков и налогов приведены в таблице 1.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787"/>
        <w:gridCol w:w="1635"/>
        <w:gridCol w:w="709"/>
        <w:gridCol w:w="1458"/>
        <w:gridCol w:w="751"/>
        <w:gridCol w:w="558"/>
        <w:gridCol w:w="537"/>
        <w:gridCol w:w="539"/>
        <w:gridCol w:w="537"/>
        <w:gridCol w:w="467"/>
        <w:gridCol w:w="538"/>
        <w:gridCol w:w="540"/>
      </w:tblGrid>
      <w:tr w:rsidR="002C4B81" w:rsidRPr="00B963D3" w:rsidTr="000161C7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/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Год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Район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число </w:t>
            </w:r>
          </w:p>
          <w:p w:rsidR="002C4B81" w:rsidRPr="00B963D3" w:rsidRDefault="002C4B81" w:rsidP="000161C7">
            <w:r w:rsidRPr="00B963D3">
              <w:t xml:space="preserve">дворов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Земли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Дворов </w:t>
            </w:r>
          </w:p>
          <w:p w:rsidR="002C4B81" w:rsidRPr="00B963D3" w:rsidRDefault="002C4B81" w:rsidP="000161C7">
            <w:r w:rsidRPr="00B963D3">
              <w:t xml:space="preserve">на выть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Цена </w:t>
            </w:r>
          </w:p>
          <w:p w:rsidR="002C4B81" w:rsidRPr="00B963D3" w:rsidRDefault="002C4B81" w:rsidP="000161C7">
            <w:r w:rsidRPr="00B963D3">
              <w:t xml:space="preserve">ржи </w:t>
            </w:r>
          </w:p>
        </w:tc>
        <w:tc>
          <w:tcPr>
            <w:tcW w:w="623" w:type="pct"/>
            <w:gridSpan w:val="2"/>
          </w:tcPr>
          <w:p w:rsidR="002C4B81" w:rsidRPr="00B963D3" w:rsidRDefault="002C4B81" w:rsidP="000161C7">
            <w:r w:rsidRPr="00B963D3">
              <w:t xml:space="preserve">Оброк </w:t>
            </w:r>
          </w:p>
        </w:tc>
        <w:tc>
          <w:tcPr>
            <w:tcW w:w="585" w:type="pct"/>
            <w:gridSpan w:val="2"/>
          </w:tcPr>
          <w:p w:rsidR="002C4B81" w:rsidRPr="00B963D3" w:rsidRDefault="002C4B81" w:rsidP="000161C7">
            <w:r w:rsidRPr="00B963D3">
              <w:t xml:space="preserve">Налог </w:t>
            </w:r>
          </w:p>
        </w:tc>
        <w:tc>
          <w:tcPr>
            <w:tcW w:w="623" w:type="pct"/>
            <w:gridSpan w:val="2"/>
          </w:tcPr>
          <w:p w:rsidR="002C4B81" w:rsidRPr="00B963D3" w:rsidRDefault="002C4B81" w:rsidP="000161C7">
            <w:r w:rsidRPr="00B963D3">
              <w:t xml:space="preserve">Всего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со двора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с души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со двора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с души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со двора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с души </w:t>
            </w:r>
          </w:p>
        </w:tc>
        <w:tc>
          <w:tcPr>
            <w:tcW w:w="341" w:type="pct"/>
            <w:vAlign w:val="center"/>
          </w:tcPr>
          <w:p w:rsidR="002C4B81" w:rsidRPr="00B963D3" w:rsidRDefault="002C4B81" w:rsidP="000161C7"/>
        </w:tc>
        <w:tc>
          <w:tcPr>
            <w:tcW w:w="311" w:type="pct"/>
            <w:vAlign w:val="center"/>
          </w:tcPr>
          <w:p w:rsidR="002C4B81" w:rsidRPr="00B963D3" w:rsidRDefault="002C4B81" w:rsidP="000161C7"/>
        </w:tc>
        <w:tc>
          <w:tcPr>
            <w:tcW w:w="311" w:type="pct"/>
            <w:vAlign w:val="center"/>
          </w:tcPr>
          <w:p w:rsidR="002C4B81" w:rsidRPr="00B963D3" w:rsidRDefault="002C4B81" w:rsidP="000161C7"/>
        </w:tc>
        <w:tc>
          <w:tcPr>
            <w:tcW w:w="311" w:type="pct"/>
            <w:vAlign w:val="center"/>
          </w:tcPr>
          <w:p w:rsidR="002C4B81" w:rsidRPr="00B963D3" w:rsidRDefault="002C4B81" w:rsidP="000161C7"/>
        </w:tc>
        <w:tc>
          <w:tcPr>
            <w:tcW w:w="273" w:type="pct"/>
            <w:vAlign w:val="center"/>
          </w:tcPr>
          <w:p w:rsidR="002C4B81" w:rsidRPr="00B963D3" w:rsidRDefault="002C4B81" w:rsidP="000161C7"/>
        </w:tc>
        <w:tc>
          <w:tcPr>
            <w:tcW w:w="311" w:type="pct"/>
            <w:vAlign w:val="center"/>
          </w:tcPr>
          <w:p w:rsidR="002C4B81" w:rsidRPr="00B963D3" w:rsidRDefault="002C4B81" w:rsidP="000161C7"/>
        </w:tc>
        <w:tc>
          <w:tcPr>
            <w:tcW w:w="311" w:type="pct"/>
            <w:vAlign w:val="center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1540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Деревская пятина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поместные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1,9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15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39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7,9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6,6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1,3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45,6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9,2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1540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Водская пятина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поместные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1,3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15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66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12,5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6,2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1,2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72,2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13,7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3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1540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Шелонская пятина, Староруский у.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поместные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1,2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15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68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11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9,2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1,6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77,2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12,8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4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1554/55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Владимирский у. </w:t>
            </w:r>
          </w:p>
          <w:p w:rsidR="002C4B81" w:rsidRPr="00B963D3" w:rsidRDefault="002C4B81" w:rsidP="000161C7">
            <w:r w:rsidRPr="00B963D3">
              <w:t xml:space="preserve">с. Борисовское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191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2,4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40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34,0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6,8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5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1564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Белозерский у. </w:t>
            </w:r>
          </w:p>
          <w:p w:rsidR="002C4B81" w:rsidRPr="00B963D3" w:rsidRDefault="002C4B81" w:rsidP="000161C7">
            <w:r w:rsidRPr="00B963D3">
              <w:t xml:space="preserve">с. Ярогомж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42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1,4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24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28,0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5,6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6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1567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Костромской у. </w:t>
            </w:r>
          </w:p>
          <w:p w:rsidR="002C4B81" w:rsidRPr="00B963D3" w:rsidRDefault="002C4B81" w:rsidP="000161C7">
            <w:r w:rsidRPr="00B963D3">
              <w:t xml:space="preserve">с. Цибино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26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2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24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28,7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5,8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7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1568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Водская пятина, Новгородский у.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поместные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1,1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28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36,0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6,9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20,0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4,0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56,0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10,9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8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1576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Шелонская пятина. Михайловский </w:t>
            </w:r>
          </w:p>
          <w:p w:rsidR="002C4B81" w:rsidRPr="00B963D3" w:rsidRDefault="002C4B81" w:rsidP="000161C7">
            <w:r w:rsidRPr="00B963D3">
              <w:t xml:space="preserve">погост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55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поместные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2,5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24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12,0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20,1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4,0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31,8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6,3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9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1576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Шелонская пятина. Порховский у.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297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поместные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2,5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24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9,3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1,9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20,1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4,0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29,5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5,9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10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1570-е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Тверской у. </w:t>
            </w:r>
          </w:p>
          <w:p w:rsidR="002C4B81" w:rsidRPr="00B963D3" w:rsidRDefault="002C4B81" w:rsidP="000161C7">
            <w:r w:rsidRPr="00B963D3">
              <w:t xml:space="preserve">с. Марьино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112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9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24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9,3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1,9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11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1577/78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Нижегородский у.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613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3,7 </w:t>
            </w:r>
          </w:p>
        </w:tc>
        <w:tc>
          <w:tcPr>
            <w:tcW w:w="34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16,0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3,3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12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с 80-х годов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Подворное обложение в сев.-вост. районах.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черные </w:t>
            </w:r>
          </w:p>
        </w:tc>
        <w:tc>
          <w:tcPr>
            <w:tcW w:w="415" w:type="pct"/>
          </w:tcPr>
          <w:p w:rsidR="002C4B81" w:rsidRPr="00B963D3" w:rsidRDefault="002C4B81" w:rsidP="000161C7"/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30-60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7,3-14,6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1,5-2,9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13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1582-84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Водская пятина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172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3,5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62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10,7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2,1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15,5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2,9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26,3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5,0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14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1584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Шелонская пятина. Порховский у.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60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16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3,1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5,5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1,1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24,7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4,8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15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1584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Владимирский у. </w:t>
            </w:r>
          </w:p>
          <w:p w:rsidR="002C4B81" w:rsidRPr="00B963D3" w:rsidRDefault="002C4B81" w:rsidP="000161C7">
            <w:r w:rsidRPr="00B963D3">
              <w:t xml:space="preserve">с. Красное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135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3,4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52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15,3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3,1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2,5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0,5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17,9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3,6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16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1585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Себежский у. Никольская губа.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23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2,5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60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31,3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6,2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17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1586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Муромский у. </w:t>
            </w:r>
          </w:p>
          <w:p w:rsidR="002C4B81" w:rsidRPr="00B963D3" w:rsidRDefault="002C4B81" w:rsidP="000161C7">
            <w:r w:rsidRPr="00B963D3">
              <w:t xml:space="preserve">с. Пурок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693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1,8 </w:t>
            </w:r>
          </w:p>
        </w:tc>
        <w:tc>
          <w:tcPr>
            <w:tcW w:w="34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44,7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8,9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18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1588/89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Каширский у.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2030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/>
        </w:tc>
        <w:tc>
          <w:tcPr>
            <w:tcW w:w="34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14,0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2,8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19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1589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Вологодский у. </w:t>
            </w:r>
          </w:p>
          <w:p w:rsidR="002C4B81" w:rsidRPr="00B963D3" w:rsidRDefault="002C4B81" w:rsidP="000161C7">
            <w:r w:rsidRPr="00B963D3">
              <w:t xml:space="preserve">с. Юг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657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3,9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71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10,0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2,1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1,7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0,3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11,9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2,4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20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1590-94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Вотчины Троице-Сергиева монастыря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монастырские </w:t>
            </w:r>
          </w:p>
        </w:tc>
        <w:tc>
          <w:tcPr>
            <w:tcW w:w="415" w:type="pct"/>
          </w:tcPr>
          <w:p w:rsidR="002C4B81" w:rsidRPr="00B963D3" w:rsidRDefault="002C4B81" w:rsidP="000161C7"/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30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6-12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1,2-2,4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21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1594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Деревская пятина, Сытинский и Листовский погосты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66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монаст.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60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11,3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1,7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22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1596/97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Рязанский у. </w:t>
            </w:r>
          </w:p>
          <w:p w:rsidR="002C4B81" w:rsidRPr="00B963D3" w:rsidRDefault="002C4B81" w:rsidP="000161C7">
            <w:r w:rsidRPr="00B963D3">
              <w:t xml:space="preserve">с. Федотьево и др.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152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дворцовые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4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30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9,3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1,8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1,5 </w:t>
            </w:r>
          </w:p>
        </w:tc>
        <w:tc>
          <w:tcPr>
            <w:tcW w:w="273" w:type="pct"/>
          </w:tcPr>
          <w:p w:rsidR="002C4B81" w:rsidRPr="00B963D3" w:rsidRDefault="002C4B81" w:rsidP="000161C7">
            <w:r w:rsidRPr="00B963D3">
              <w:t xml:space="preserve">0,3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10,5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2,1 </w:t>
            </w:r>
          </w:p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23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1598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Вологодский у. </w:t>
            </w:r>
          </w:p>
        </w:tc>
        <w:tc>
          <w:tcPr>
            <w:tcW w:w="402" w:type="pct"/>
          </w:tcPr>
          <w:p w:rsidR="002C4B81" w:rsidRPr="00B963D3" w:rsidRDefault="002C4B81" w:rsidP="000161C7"/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монаст. </w:t>
            </w:r>
          </w:p>
        </w:tc>
        <w:tc>
          <w:tcPr>
            <w:tcW w:w="415" w:type="pct"/>
          </w:tcPr>
          <w:p w:rsidR="002C4B81" w:rsidRPr="00B963D3" w:rsidRDefault="002C4B81" w:rsidP="000161C7"/>
        </w:tc>
        <w:tc>
          <w:tcPr>
            <w:tcW w:w="34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14,0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2,8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24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1598-99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Поместье Степана </w:t>
            </w:r>
          </w:p>
          <w:p w:rsidR="002C4B81" w:rsidRPr="00B963D3" w:rsidRDefault="002C4B81" w:rsidP="000161C7">
            <w:r w:rsidRPr="00B963D3">
              <w:t xml:space="preserve">Рахманова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13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поместные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6,5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58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20,7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4,2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25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1601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Бежецкий у. </w:t>
            </w:r>
          </w:p>
          <w:p w:rsidR="002C4B81" w:rsidRPr="00B963D3" w:rsidRDefault="002C4B81" w:rsidP="000161C7">
            <w:r w:rsidRPr="00B963D3">
              <w:t xml:space="preserve">с. Алабузино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21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монастырские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4,5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32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12,7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2,5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  <w:tr w:rsidR="002C4B81" w:rsidRPr="00B963D3">
        <w:trPr>
          <w:tblCellSpacing w:w="0" w:type="dxa"/>
        </w:trPr>
        <w:tc>
          <w:tcPr>
            <w:tcW w:w="254" w:type="pct"/>
          </w:tcPr>
          <w:p w:rsidR="002C4B81" w:rsidRPr="00B963D3" w:rsidRDefault="002C4B81" w:rsidP="000161C7">
            <w:r w:rsidRPr="00B963D3">
              <w:t xml:space="preserve">26 </w:t>
            </w:r>
          </w:p>
        </w:tc>
        <w:tc>
          <w:tcPr>
            <w:tcW w:w="426" w:type="pct"/>
          </w:tcPr>
          <w:p w:rsidR="002C4B81" w:rsidRPr="00B963D3" w:rsidRDefault="002C4B81" w:rsidP="000161C7">
            <w:r w:rsidRPr="00B963D3">
              <w:t xml:space="preserve">1601 </w:t>
            </w:r>
          </w:p>
        </w:tc>
        <w:tc>
          <w:tcPr>
            <w:tcW w:w="693" w:type="pct"/>
          </w:tcPr>
          <w:p w:rsidR="002C4B81" w:rsidRPr="00B963D3" w:rsidRDefault="002C4B81" w:rsidP="000161C7">
            <w:r w:rsidRPr="00B963D3">
              <w:t xml:space="preserve">Бежецкий у. </w:t>
            </w:r>
          </w:p>
          <w:p w:rsidR="002C4B81" w:rsidRPr="00B963D3" w:rsidRDefault="002C4B81" w:rsidP="000161C7">
            <w:r w:rsidRPr="00B963D3">
              <w:t xml:space="preserve">с. Михайловы горы </w:t>
            </w:r>
          </w:p>
        </w:tc>
        <w:tc>
          <w:tcPr>
            <w:tcW w:w="402" w:type="pct"/>
          </w:tcPr>
          <w:p w:rsidR="002C4B81" w:rsidRPr="00B963D3" w:rsidRDefault="002C4B81" w:rsidP="000161C7">
            <w:r w:rsidRPr="00B963D3">
              <w:t xml:space="preserve">37 </w:t>
            </w:r>
          </w:p>
        </w:tc>
        <w:tc>
          <w:tcPr>
            <w:tcW w:w="638" w:type="pct"/>
          </w:tcPr>
          <w:p w:rsidR="002C4B81" w:rsidRPr="00B963D3" w:rsidRDefault="002C4B81" w:rsidP="000161C7">
            <w:r w:rsidRPr="00B963D3">
              <w:t xml:space="preserve">монастырские </w:t>
            </w:r>
          </w:p>
        </w:tc>
        <w:tc>
          <w:tcPr>
            <w:tcW w:w="415" w:type="pct"/>
          </w:tcPr>
          <w:p w:rsidR="002C4B81" w:rsidRPr="00B963D3" w:rsidRDefault="002C4B81" w:rsidP="000161C7">
            <w:r w:rsidRPr="00B963D3">
              <w:t xml:space="preserve">7 </w:t>
            </w:r>
          </w:p>
        </w:tc>
        <w:tc>
          <w:tcPr>
            <w:tcW w:w="341" w:type="pct"/>
          </w:tcPr>
          <w:p w:rsidR="002C4B81" w:rsidRPr="00B963D3" w:rsidRDefault="002C4B81" w:rsidP="000161C7">
            <w:r w:rsidRPr="00B963D3">
              <w:t xml:space="preserve">32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10,0 </w:t>
            </w:r>
          </w:p>
        </w:tc>
        <w:tc>
          <w:tcPr>
            <w:tcW w:w="311" w:type="pct"/>
          </w:tcPr>
          <w:p w:rsidR="002C4B81" w:rsidRPr="00B963D3" w:rsidRDefault="002C4B81" w:rsidP="000161C7">
            <w:r w:rsidRPr="00B963D3">
              <w:t xml:space="preserve">2,1 </w:t>
            </w:r>
          </w:p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273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  <w:tc>
          <w:tcPr>
            <w:tcW w:w="311" w:type="pct"/>
          </w:tcPr>
          <w:p w:rsidR="002C4B81" w:rsidRPr="00B963D3" w:rsidRDefault="002C4B81" w:rsidP="000161C7"/>
        </w:tc>
      </w:tr>
    </w:tbl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Табл. 3. Данные об оброках и налогах в 1540-1601 годах (в пудах хлеба)[45]. В некоторых случаях населенность двора неизвестна, тогда она принимается за 5 человек, и соответствующая цифра выделяется курсивом.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В этой таблице не учтена арендная плата за вненадельные земли. Обычная арендная плата на дворцовых землях составляла 12 денег за 3 десятины в 3 полях[46]. Крестьянский двор вряд ли арендовал больше 6 десятин, тогда плата за аренду составляла максимально 24 деньги на двор. При цене четверти ржи в 40 денег и четверти овса в 20 денег это эквивалентно 2,7 пудам хлеба на двор или 0,5 пуда на душу. На монастырских землях аренда обходилась немного дороже[47], но в целом, аренда за оброк была чрезвычайно выгодна для крестьянина, и по некоторым оценкам, арендуемая пашня значительно превышала тяглую. Мало того, во многих случаях крестьяне распахивали заброшенные земли и вообще ничего не платили. При обыске, проведенном в Бежецкой пятине в 1586 году, выяснилось, что безоброчных пашен было в 1,3 раза больше, чем тяглых[48].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Таким образом, арендная плата была лишь небольшой добавкой к платежам за тяглую землю, и мы можем считать, что данные таблицы 2 в целом достаточно адекватно показывают общую динамику ренты. Из этих данных следует, что сразу после катастрофы 1570-71 годов оброки на поместных землях упали примерно в 3 раза (с 10-12 пудов до 3-4 пудов на душу), на дворцовых землях - примерно в 2 раза. Это падение произошло за счет уменьшения тяглого надела (роста числа дворов на выть). В то же время размеры государственных налогов оставались большими, и это было одной из причин, заставлявших помещиков соглашаться на уменьшение тяглых наделов. В 80-90-х годах дальнейшее уменьшение тяглых наделов привело к дальнейшему сокращению оброков, причем в этот период сокращаются и налоги. Правда, имеются два исключения. В Муромском уезде (с. Пурок и др.) оброки сохранились на высоком уровне, но Е. И. Колычева объясняет это обстоятельство необычайным плодородием этого района. В другом случае (Себежский у.) в ренту были, по-видимому, включены государственные налоги. Кроме того, малый объем выборки (23 двора) не исключает присутствия каких-либо местных особенностей[49].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Мы можем проверить гипотезу об уменьшении оброка после 1572 года по статистическому критерию Уилкоксона. Цифры оброка со двора объединим в две группы: первая группа с табличными номерами 1-7 (оброки до 1572 года) и вторая группа с номерами 8-26 (оброки после 1572 года). Эти группы можно рассматривать как случайные выборки (случайность обеспечивается тем обстоятельством, что мы привели все встречающиеся в литературе цифры, не производя специального отбора). После этого, подсчитав число инверсий (7), мы получим значение критерия Уилкоксона (59,5), намного превосходящее критическое (44,5). Это означает, что две рассматриваемые нами группы с вероятностью 99% имеют разные законы распределения, то есть после 1572 года оброки понизились[50].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Уменьшение оброков для оброчных крестьян шло параллельно уменьшению барщины в барщинных хозяйствах. Известно, что в первой половине XVI века норма барщины составляла 1 десятину с выти в одном поле; в подавляющем большинстве известных случаев эта норма сохранялась вплоть до 90-х годов. Но количество дворов на выть за это время возросло в 2-3 раза - то есть объем барщины в расчете на двор значительно уменьшился[51].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Таким образом, нормы оброка и барщины снизились, свободной земли было более чем достаточно, можно было выбирать лучшие участки. Напрашивается вывод о том, что крестьяне стали жить намного лучше - однако у нас нет массовых данных, которые бы позволили реконструировать бюджет крестьянского хозяйства. Крестьяне скрывали свою безоброчную пашню и указывали в качестве тяглых наделов мизерные участки, поэтому размеры средней запашки известны лишь в редких случаях. В Прибужском погосте Старорусского узда в 1580-х годах на крестьянский двор приходилось 3 десятины тяглой, 5 десятин арендной земли, и, вероятно, кое-что обрабатывалось безоброчно. В Бежецкой пятине известно много случаев, когда крестьяне безоброчно распахивали очень большие дворовые наделы[52]. Естественно предположить, что в сложившихся благоприятных условиях крестьяне пахали столько, сколько считали нужным - и во всяком случае, не меньше, чем раньше. Г. Штаден свидетельствует, что в то время среди крестьян были богатые люди; известно, что некоторые сельчане делали большие вклады в монастыри[53]. О высоком уровне жизни крестьян говорят и высокие оброки монастырских «детенышей».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Таким образом, в период, последовавший за катастрофой 70-х годов, уровень эксплуатации крестьян не увеличился (как утверждают некоторые историки), а напротив, значительно уменьшился – в полном соответствии с экономической теорией.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Уменьшились не только подати, уплачиваемые землевладельцам, сокращение тяглых наделов привело к уменьшению крестьянских платежей в казну. Реальный размер податей, платимых с одного двора, сократился в 3-4 раза. В Новгородском уезде Шелонской пятины в 1573-88 годах реальные платежи крестьянского двора уменьшились в 5 раз! Казна опустела; сборы с новгородских земель к 1576 году уменьшились вдвое, а к 1583 году в 12 раз[54]!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Суммируя сказанное, можно признать, что имеются некоторые аргументы в пользу того, что экономическое развитие России в 1500-1580-м годам соответствует общим представлениям структурно-демографической теории. В соответствии с этими представлениями, в первой половине XVI века имел место рост населения, который привел к нехватке свободных земель и к относительному перенаселению в отдельных районах. Перенаселение особенно сказывалась в некоторых пятинах новгородчины, где недостаток земли усугублялся высоким уровнем оброков, которые крестьяне платили своим помещикам. Эти пятины были очагами хронического недоедания и эпидемий, и население там уменьшалось уже в первой половине XVI века. Продовольственное положение здесь было неустойчивым и любой большой неурожай или новый налог мог привести к катастрофическому голоду. Налоги, введенные во время Ливонской войны, особенно тяжело ударили по депрессивным районам, и почти сразу же привели к голоду и эпидемиям. Принятое в 1566 году решение о дальнейшем увеличении налогов стало роковым; рост податей вызвал истощение хлебных запасов не только в депрессивных районах, но и в более благополучных областях. В этих условиях два неурожая породили страшный голод, а вслед за голодом пришла чума. Крымский хан воспользовался кризисом, чтобы нанести Москве сокрушительный удар – к эпидемиологической катастрофе присоединилась военная катастрофа. Численность крестьянского населения намного уменьшилась; в соответствии с общими экономическими законами это должно было привести – и привело – к значительному уменьшению оброков и барщины. Таким образом, согласно демографически-структурной теории, период после 1572 года можно рассматривать как начало нового экологического цикла.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Мы не считаем, что эта схема применения демографически-структурной теории к реальности России является вполне обоснованной, это лишь один из гипотетических вариантов, вокруг которого может вестись дискуссия. Возможно, в ходе этой дискуссии будут приведены аргументы критического характера. Тем не менее, очевидно, что обсуждение применимости этой концепции к российской действительности может быть полезным в плане лучшего понимания природы и динамики внутренних социально-экономических процессов. </w:t>
      </w:r>
    </w:p>
    <w:p w:rsidR="002C4B81" w:rsidRPr="00B963D3" w:rsidRDefault="002C4B81" w:rsidP="002C4B81">
      <w:pPr>
        <w:spacing w:before="120"/>
        <w:jc w:val="center"/>
        <w:rPr>
          <w:b/>
          <w:bCs/>
          <w:sz w:val="28"/>
          <w:szCs w:val="28"/>
        </w:rPr>
      </w:pPr>
      <w:r w:rsidRPr="00B963D3">
        <w:rPr>
          <w:b/>
          <w:bCs/>
          <w:sz w:val="28"/>
          <w:szCs w:val="28"/>
        </w:rPr>
        <w:t>Список литературы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 [1] Dunning Ch. The Precoditions of Modern Russia’s Fist Civil War//Russian History. 1998. Vol. 25. No. 1-2. P. 119-131.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[2] Goldstone J. A. Revolution and Rebellion in the East Modern World. Bercley, 1991.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[3] Braudel F, Spooner F. Price in Europe from 1450 to 1750//The Cambridge Economic History of Europe. Vol. IV. Cambridge, 1967. P. 368-486; Ladurie, Le Roy E. Les paysans de Languedoc. T. 1-2. Paris, 1966; Chaunu P. La civilisation de l’Europe classique. P., 1966.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[4]Abel W. Agrarkrisen und Agrarkonjunktur in Mitteleuropa vom 13. bis zum 19. Jahrhundert. Berlin. 1935; Abel W. Crises agraires en Europe (XIIe –XXe siecle). Paris, 1973; Postan M. Same economic evidence of declining population in the later middle ages // The Economic History Review. Ser. 2. 1950. Vol. 2, № 3; Postan M. M. Essays on medieval agriculture and general problems of medieval economy. Cambridge, 1973; Helliner K. , The Population of Europe from the Blac Deathe to the Eve of the Vital Revolution// The Cambridge Economic History of Europe. Vol. IV. Cambridge, 1967. P. 1-95.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[5] Goldstone J. A. Op. zit. P. 24-27, 393.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[6] Dunning Ch. Op. zit. P. 127.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[7] Аграрная история Северо-Запада России XVI века. Л,. 1974. (далее - АИСЗР. Т. II) С. 267, 290; Тихомиров М. Н. Россия в XVI столетии. М., 1962. С. 104; Зимин А. А. Реформы Ивана Грозного. М., 1960. С. 86. Копанев А. И. Население Русского государства в XVI в.//Исторические записки. 1959. Т. 64. С. 237-244; Колычева Е. И. Аграрный строй России XVI века. М., 1987. С. 64.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[8] Ивина Л. И. Внутреннее освоение земель в России в XVI в. Л., 1985. С. 233.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[9] Прокопьева Л. С. «Хлебный бюджет» крестьянского хозяйства Белозерского края в середине XVI в.// Крестьянство и классовая борьба в феодальной России. Л., 1967. С. 102.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[10] Аграрная история Северо-Запада России XVI века. Север. Псков. Общие итоги развития Северо-Запада. Л. 1978. (далее - АИСЗР. Т.III) С. 178. Табл. 60. Авторы этой работы подвергались критике за то, что брали в своих расчетах слишком большую урожайность: сам-4 для ржи и сам-3 для овса (см.: Горская Н. А., Милов Л. В. Некоторые итоги и перспективы изучения аграрной истории Северо-Запада России//История СССР. 1982, № 2. С. 73-74). Тем не менее даже при столь высокой урожайности крестьянские хозяйства имели дефицит хлеба.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[11]АИСЗР. Т.II. С. 32, 33, 42, 53, 67, 287, 290; Соловьев С. М. Сочинения. Кн. 3. М., 1989. С. 312.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[12] АИСЗР. Т.II. С. 173, 373.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[13] Klapisch-Zuber C. Plague and family life //The New Cambridge Medieval History. Vol. VII. Cambridge, 2000. P. 130; История крестьянства в Европе. Т. II. М., 1986. С. 292.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[14] Маньков А. Г. Указ. соч. С. 104; Колычева Е. И. Указ. соч. С. 172-174.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[15] Abel W. Crises agraires en Europe (XIIe –XXe siecle). Paris, 1973.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[16]Герберштейн С. Записки о Московии. М., 1988. С. 121; АИСЗР. Т.II. С. 23; Никольский Н. Кирилло-Белозерский монастырь и его устройство во второй четверти XVII века. Т. I. Вып. 2. СПб.,1910. с. OXCII-OXCVI; Маньков А. Г. Цены и их движение в Русском государстве XVI века. М.-Л., 1951. С. 106; Abel W. Crises agraires en Europe (XIIe –XXe siecle). P., 1973. P. 189.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[17] Тихомиров М. Н. российское государство XVI-XVII веков. М., 1973. С. 142-143.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[18] Книга ключей и долговая книга Волоколамского монастыря XVI века. М.-Л., 1948. С. 31-37; Расходная книга Костромского Ипатьевского моначстыря около 1553 года упоминает оброки «детенышей» в 66-72 деньги. См.: Сборник Археологического института. 1898. С. 129. Цена четверти ржи в 1557 году составляла 40 денег (Маньков А. Г. Указ. соч. С. 106). Юфть хлеба стоила 60 денег и на годовой оброк можно купить 1,3 юфти. В книгах денежных сборов и выплат Иосифо-Волоколамского монастыря встречаются упоминания о том, что работники получали натурой на год 2 четверти ржи и 2 четверти овса (то есть 2 юфти). Всего с оброком получается 3,3 юфти. Юфть весила 6,7 пуда, 3,3 юфти - 22,1 пуда. Из расчета 300 рабочих дней в году получается 1,2 кг хлеба в день.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[19] Книги денежных сборов и выплат Иосифо-Волоколамского монастыря. 1573-1595 гг. Вып. 2. М.-Л., 1978. С. 190-204; Маньков А. Г. Указ. соч. С. 106.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[20] Каштанов С. М. К изучению опричнины Ивана Грозного// История СССР. 1963. № 2 С. 114; Колычева Е. И. Указ. соч. С. 176.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[21] Скрынников Р. Г. Великий государь Иоан Васильевич Грозный. Т. I. Смоленск, 1996. С. 410, 412, 437.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[22] Для построения таблицы использованы данные Г. В Абрамовича: АИСЗР. Т.II. С. 23-27, табл. 5, 8, 9. Данные о населенности двора см. АИСЗР. Т. II. C. 185, табл. 151, С. 194, табл. 157. Пересчет на пуды хлеба осуществлен исходя из цены полпуда ржи плюс полпуда овса в 1500 году в 2,2 деньги. Величина для 1569 года получена следующим образом: из указанной работы взята цифра податей за обжу в 140 денег в 1570 году, число дворов на обжу и населенность двора взяты те же, что и 1566 году.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[23] АИСЗР. Т. II. Табл. 36.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[24] Аграрная история Северо-Запада России. Вторая половина XV-начало XVI века. Л. 1971. (далее - АИСЗР. Т. I). С. 37.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[25] Цит. по: Скрынников Р. Г. Россия после опричнины. Л., 1975. С. 162.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[26] Цит. по: Скрынников Р. Г. Указ. соч. С. 162.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[27] Klapisch-Zuber C. Op. cit. P. 130; Slicher van Bath B. H. The Agrarian History of Western Europe F. D. 500-1850. L., 1963. P. 88.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[28] Колычева Е. И. Указ. соч. С. 178.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[29] Штаден Г. О Москве Ивана Грозного. Записки немца-опричника. М., 1925. С. 92.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[30] Послание Иоганна Таубе и Элерта Крузе//Русский исторический журнал. 1922. Кн. 8. С. 55.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[31]Цит. по: Каштанов С. М. Указ. соч. С. 115.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[32] Цит. по: Скрынников Р. Г. Указ. соч. С. 163.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[33] Колычева Е. И. Указ. соч. С. 182.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[34] АИСЗР. Т.II. С. 65, 169, 191; Колычева Е. И. Указ. соч. С. 180-186; Зимин А. А. Опричнина Ивана Грозного. М., 1964. С. 396.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[35] Postan M. Same economic evidence of declining population in the later middle ages // The Economic History Review. Ser. 2. 1950. Vol. 2, № 3; Postan M. M. Essays on medieval agriculture and general problems of medieval economy. Cambridge, 1973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[36] Postan M. Same economic evidence… P. 225, 236; Мэнкью Н. Г. Принципы экономикс. СПб, 1999. С. 404.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[37] Postan M. Op. cit. Р. 233. Table 3.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[38] Вотчинные хозяйственные книги XVI века. Приходные, расходные и окладные книги Спасо-Прилукского монастыря 1574-1600 гг. М.-Л., 1979. С. 301-304; АИСЗР. Т.II. С. 21.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[39] Петров В. А. Слуги и деловые люди монастырских вотчин XVI века//Вопрос экономики и класовых отношений в Русском государстве XII-XVII веков. М.-Л., 1960. С.169; Шепетов К. Н. Сельское хозяйство в вотчинах Иосифо-Волоколамского монастыря//Исторические записки. 1948. Т. 18. С. 99; Тихомиров М. Н. Монастырь-вотчинник XVI века// Исторические записки. 1938. Т. 3. С. 159-160; Греков Б. Д. Очерки по истории хозяйства Новгородского Софийского Дома//Летопись занятий Археографической комиссии за 1923-25 годы. Вып. 33. Л., 1926. С. 268, 270.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[40] Книга ключей и долговая книга Волоколамского монастыря… С. 31-37; Вотчинные хозяйственные книги XVI века. Книги денежных сборов и выплат Иосифо-Волоколамского монастыря. 1573-1595 гг. Вып. 2. М.-Л., 1978. С. 190-204.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[41] Там же; Никольский Р. Указ. соч. С. OXC-OC.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[42] Postan M. Op. cit. Р. 236. 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[43] Postan M. Op. cit. P. 236-237; История крестьянства в Европе… Т. 2. С. 329.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[44] Воробьев В. М., Дегтярев А.Я. Борьба русского крестьянства с податной политикой феодального государства в XVI-XVII вв.// Генезис и развитие феодализма. Л., 1985. С. 147-153; Шапиро А. Л. Указ. соч. С. 71-73.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[45] Мы пересчитали в пуды хлеба на двор и на душу населения данные об оброках, приведенные в АИСЗР. Т. II. C.74-75, 104-106, 127, 142, 154, 180, 182; Т. III. C. 177-178; Колычева Е. И. Указ. соч. С. 64-65; Горская Н. А. Монастырские крестьяне Центральной России в XVII веке. М., 1977. С. 245; Тихонов Ю. А. Помещичьи крестьяне в России. Феодальная рента в XVII – начале XVIII в. М, 1974. С.157, 162; История крестьянства СССР с древнейших времен до Великой октябрьской социалистической революции. Т. 2. М., 1990. С. 261; Данные о налогах: Колычева Е. И. Указ. соч. С. 164-165; АИСЗР. Т. II. C. 27. Данные о ценах: АИСЗР. Т. II. C. 21; Маньков А. Г. Указ. соч. С. 104. В Каширском уезде оброк брался пшеницей: Колычева Е. И. Указ. соч. С. 66.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[46] Колычева Е. И. Указ. соч. С. 70.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[47] В Иосифо-Волоколамском монастыре в 1588 году брали 20 денег с десятины. См.: Горская Н. А. Указ. соч. С. 318.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[48] Абрамович Г. В. Указ. соч. С. 80; АИСЗР. Т.II. С. 133, 218, 238-239.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[49] Колычева Е. И. Указ. соч. С. 49.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[50] Бронштейн И. Н. Семендяев К. А. Справочник по математике для инженеров и учащихся втузов. М.,1981. С. 607-608.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[51] История крестьянства СССР... С. 257; Тихонов Ю. А. Указ. соч. С. 159; Колычева Е. И. Указ. соч. С. 89-91.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[52] Шапиро А. Л. Указ. соч. С. 228; АИСЗР. Т. II. С. 239; История крестьянства Северо-Запада России. СПб., 1994. С. 109.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>[53] Штаден Г. Указ. соч. С. 122; Корецкий В. И. Закрепощение крестьян и классовая борьба в России. М., 1970. С. 44.</w:t>
      </w:r>
    </w:p>
    <w:p w:rsidR="002C4B81" w:rsidRPr="00B963D3" w:rsidRDefault="002C4B81" w:rsidP="002C4B81">
      <w:pPr>
        <w:spacing w:before="120"/>
        <w:ind w:firstLine="567"/>
        <w:jc w:val="both"/>
      </w:pPr>
      <w:r w:rsidRPr="00B963D3">
        <w:t xml:space="preserve">[54] Абрамович Г. В. Указ. соч. С. 80,81; Воробьев В. М., Дегтярев А. Я. Русское феодальное землевладение от «Смутного времени» до конца петровских реформ. Л., 1986. С. 168.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B81"/>
    <w:rsid w:val="000161C7"/>
    <w:rsid w:val="00051FB8"/>
    <w:rsid w:val="00095BA6"/>
    <w:rsid w:val="00210DB3"/>
    <w:rsid w:val="002C4B81"/>
    <w:rsid w:val="0031418A"/>
    <w:rsid w:val="00350B15"/>
    <w:rsid w:val="00377A3D"/>
    <w:rsid w:val="0052086C"/>
    <w:rsid w:val="005A2562"/>
    <w:rsid w:val="00704F27"/>
    <w:rsid w:val="00755964"/>
    <w:rsid w:val="008C19D7"/>
    <w:rsid w:val="00A44D32"/>
    <w:rsid w:val="00B963D3"/>
    <w:rsid w:val="00DD416D"/>
    <w:rsid w:val="00E12572"/>
    <w:rsid w:val="00F0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A1EDDB-A7DC-4F46-817D-018A67DD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8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4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6194</Words>
  <Characters>35306</Characters>
  <Application>Microsoft Office Word</Application>
  <DocSecurity>0</DocSecurity>
  <Lines>294</Lines>
  <Paragraphs>82</Paragraphs>
  <ScaleCrop>false</ScaleCrop>
  <Company>Home</Company>
  <LinksUpToDate>false</LinksUpToDate>
  <CharactersWithSpaces>41418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возможности применения структурно-демографической теории при изучении истории России XVI века</dc:title>
  <dc:subject/>
  <dc:creator>Alena</dc:creator>
  <cp:keywords/>
  <dc:description/>
  <cp:lastModifiedBy>admin</cp:lastModifiedBy>
  <cp:revision>2</cp:revision>
  <dcterms:created xsi:type="dcterms:W3CDTF">2014-02-18T23:59:00Z</dcterms:created>
  <dcterms:modified xsi:type="dcterms:W3CDTF">2014-02-18T23:59:00Z</dcterms:modified>
</cp:coreProperties>
</file>