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950" w:rsidRDefault="001F3950" w:rsidP="002C0553">
      <w:pPr>
        <w:spacing w:line="360" w:lineRule="auto"/>
        <w:ind w:left="708"/>
        <w:rPr>
          <w:rFonts w:ascii="Arial" w:hAnsi="Arial" w:cs="Arial"/>
          <w:i/>
          <w:sz w:val="28"/>
          <w:szCs w:val="28"/>
        </w:rPr>
      </w:pPr>
      <w:r>
        <w:rPr>
          <w:rFonts w:ascii="Arial" w:hAnsi="Arial" w:cs="Arial"/>
          <w:i/>
          <w:sz w:val="28"/>
          <w:szCs w:val="28"/>
        </w:rPr>
        <w:t xml:space="preserve">Московский государственный институт электроники и </w:t>
      </w:r>
      <w:r w:rsidR="002C0553">
        <w:rPr>
          <w:rFonts w:ascii="Arial" w:hAnsi="Arial" w:cs="Arial"/>
          <w:i/>
          <w:sz w:val="28"/>
          <w:szCs w:val="28"/>
        </w:rPr>
        <w:t xml:space="preserve">               </w:t>
      </w:r>
      <w:r>
        <w:rPr>
          <w:rFonts w:ascii="Arial" w:hAnsi="Arial" w:cs="Arial"/>
          <w:i/>
          <w:sz w:val="28"/>
          <w:szCs w:val="28"/>
        </w:rPr>
        <w:t>математики</w:t>
      </w:r>
    </w:p>
    <w:p w:rsidR="001F3950" w:rsidRDefault="001F3950" w:rsidP="001F3950">
      <w:pPr>
        <w:spacing w:line="360" w:lineRule="auto"/>
        <w:jc w:val="center"/>
        <w:rPr>
          <w:rFonts w:ascii="Arial" w:hAnsi="Arial" w:cs="Arial"/>
          <w:i/>
          <w:sz w:val="28"/>
          <w:szCs w:val="28"/>
        </w:rPr>
      </w:pPr>
      <w:r>
        <w:rPr>
          <w:rFonts w:ascii="Arial" w:hAnsi="Arial" w:cs="Arial"/>
          <w:i/>
          <w:sz w:val="28"/>
          <w:szCs w:val="28"/>
        </w:rPr>
        <w:t>(Технический университет)</w:t>
      </w:r>
    </w:p>
    <w:p w:rsidR="001F3950" w:rsidRPr="00F32BD0" w:rsidRDefault="001F3950" w:rsidP="001F3950">
      <w:pPr>
        <w:spacing w:line="360" w:lineRule="auto"/>
        <w:rPr>
          <w:rFonts w:ascii="Arial" w:hAnsi="Arial" w:cs="Arial"/>
          <w:i/>
          <w:sz w:val="28"/>
          <w:szCs w:val="28"/>
        </w:rPr>
      </w:pPr>
    </w:p>
    <w:p w:rsidR="001F3950" w:rsidRDefault="001F3950" w:rsidP="001F3950">
      <w:pPr>
        <w:spacing w:line="360" w:lineRule="auto"/>
        <w:jc w:val="center"/>
        <w:rPr>
          <w:rFonts w:ascii="Arial" w:hAnsi="Arial" w:cs="Arial"/>
          <w:sz w:val="28"/>
          <w:szCs w:val="28"/>
        </w:rPr>
      </w:pPr>
    </w:p>
    <w:p w:rsidR="001F3950" w:rsidRDefault="001F3950" w:rsidP="001F3950">
      <w:pPr>
        <w:spacing w:line="360" w:lineRule="auto"/>
        <w:jc w:val="center"/>
        <w:rPr>
          <w:rFonts w:ascii="Arial" w:hAnsi="Arial" w:cs="Arial"/>
          <w:sz w:val="28"/>
          <w:szCs w:val="28"/>
        </w:rPr>
      </w:pPr>
    </w:p>
    <w:p w:rsidR="001F3950" w:rsidRDefault="001F3950" w:rsidP="001F3950">
      <w:pPr>
        <w:spacing w:line="360" w:lineRule="auto"/>
        <w:rPr>
          <w:rFonts w:ascii="Arial" w:hAnsi="Arial" w:cs="Arial"/>
          <w:sz w:val="28"/>
          <w:szCs w:val="28"/>
        </w:rPr>
      </w:pPr>
    </w:p>
    <w:p w:rsidR="001F3950" w:rsidRDefault="001F3950" w:rsidP="001F3950">
      <w:pPr>
        <w:spacing w:line="360" w:lineRule="auto"/>
        <w:jc w:val="center"/>
        <w:rPr>
          <w:rFonts w:ascii="Arial" w:hAnsi="Arial" w:cs="Arial"/>
          <w:sz w:val="28"/>
          <w:szCs w:val="28"/>
        </w:rPr>
      </w:pPr>
    </w:p>
    <w:p w:rsidR="002C0553" w:rsidRDefault="002C0553" w:rsidP="002C0553">
      <w:pPr>
        <w:pStyle w:val="1"/>
        <w:spacing w:line="360" w:lineRule="auto"/>
        <w:jc w:val="left"/>
        <w:rPr>
          <w:rFonts w:ascii="Arial" w:eastAsia="Times New Roman" w:hAnsi="Arial" w:cs="Arial"/>
          <w:sz w:val="28"/>
          <w:szCs w:val="28"/>
        </w:rPr>
      </w:pPr>
    </w:p>
    <w:p w:rsidR="001F3950" w:rsidRDefault="002C0553" w:rsidP="002C0553">
      <w:pPr>
        <w:pStyle w:val="1"/>
        <w:spacing w:line="360" w:lineRule="auto"/>
        <w:ind w:left="2124"/>
        <w:jc w:val="left"/>
        <w:rPr>
          <w:rFonts w:ascii="Arial" w:hAnsi="Arial" w:cs="Arial"/>
          <w:sz w:val="28"/>
        </w:rPr>
      </w:pPr>
      <w:r>
        <w:rPr>
          <w:rFonts w:ascii="Arial" w:eastAsia="Times New Roman" w:hAnsi="Arial" w:cs="Arial"/>
          <w:sz w:val="28"/>
          <w:szCs w:val="28"/>
        </w:rPr>
        <w:t xml:space="preserve">      </w:t>
      </w:r>
      <w:r w:rsidR="001F3950">
        <w:rPr>
          <w:rFonts w:ascii="Arial" w:hAnsi="Arial" w:cs="Arial"/>
          <w:sz w:val="28"/>
        </w:rPr>
        <w:t>РЕФЕРАТ ПО ДИСЦИПЛИНЕ:</w:t>
      </w:r>
    </w:p>
    <w:p w:rsidR="001F3950" w:rsidRDefault="002C0553" w:rsidP="002C0553">
      <w:pPr>
        <w:pStyle w:val="1"/>
        <w:spacing w:line="360" w:lineRule="auto"/>
        <w:jc w:val="left"/>
        <w:rPr>
          <w:rFonts w:ascii="Arial" w:hAnsi="Arial" w:cs="Arial"/>
          <w:sz w:val="28"/>
        </w:rPr>
      </w:pPr>
      <w:r>
        <w:rPr>
          <w:rFonts w:ascii="Arial" w:hAnsi="Arial" w:cs="Arial"/>
          <w:sz w:val="28"/>
        </w:rPr>
        <w:t xml:space="preserve">                                            </w:t>
      </w:r>
      <w:r w:rsidR="001F3950">
        <w:rPr>
          <w:rFonts w:ascii="Arial" w:hAnsi="Arial" w:cs="Arial"/>
          <w:sz w:val="28"/>
        </w:rPr>
        <w:t>«Политология»</w:t>
      </w:r>
    </w:p>
    <w:p w:rsidR="001F3950" w:rsidRDefault="001F3950" w:rsidP="001F3950">
      <w:pPr>
        <w:pStyle w:val="1"/>
        <w:spacing w:line="360" w:lineRule="auto"/>
        <w:rPr>
          <w:rFonts w:ascii="Arial" w:hAnsi="Arial" w:cs="Arial"/>
          <w:sz w:val="28"/>
        </w:rPr>
      </w:pPr>
    </w:p>
    <w:p w:rsidR="001F3950" w:rsidRPr="001F3950" w:rsidRDefault="001F3950" w:rsidP="001F3950">
      <w:pPr>
        <w:pStyle w:val="1"/>
        <w:spacing w:line="360" w:lineRule="auto"/>
        <w:rPr>
          <w:rFonts w:ascii="Arial" w:hAnsi="Arial" w:cs="Arial"/>
          <w:sz w:val="28"/>
          <w:szCs w:val="28"/>
        </w:rPr>
      </w:pPr>
      <w:r>
        <w:rPr>
          <w:rStyle w:val="apple-style-span"/>
          <w:rFonts w:ascii="Tahoma" w:hAnsi="Tahoma" w:cs="Tahoma"/>
          <w:color w:val="000000"/>
          <w:sz w:val="17"/>
          <w:szCs w:val="17"/>
        </w:rPr>
        <w:t> </w:t>
      </w:r>
      <w:r w:rsidRPr="001F3950">
        <w:rPr>
          <w:rStyle w:val="apple-style-span"/>
          <w:rFonts w:ascii="Arial" w:hAnsi="Arial" w:cs="Arial"/>
          <w:color w:val="000000"/>
          <w:sz w:val="28"/>
          <w:szCs w:val="28"/>
        </w:rPr>
        <w:t>Европа: формирование новой геополитической обстановки в конце ХХ - начале XXI века</w:t>
      </w: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jc w:val="left"/>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jc w:val="right"/>
        <w:rPr>
          <w:rFonts w:ascii="Arial" w:hAnsi="Arial" w:cs="Arial"/>
          <w:sz w:val="28"/>
        </w:rPr>
      </w:pPr>
      <w:r>
        <w:rPr>
          <w:rFonts w:ascii="Arial" w:hAnsi="Arial" w:cs="Arial"/>
          <w:sz w:val="28"/>
        </w:rPr>
        <w:t>Выполнил: студент группы С-64</w:t>
      </w:r>
    </w:p>
    <w:p w:rsidR="001F3950" w:rsidRDefault="001F3950" w:rsidP="001F3950">
      <w:pPr>
        <w:pStyle w:val="1"/>
        <w:spacing w:line="360" w:lineRule="auto"/>
        <w:jc w:val="right"/>
        <w:rPr>
          <w:rFonts w:ascii="Arial" w:hAnsi="Arial" w:cs="Arial"/>
          <w:sz w:val="28"/>
        </w:rPr>
      </w:pPr>
      <w:r>
        <w:rPr>
          <w:rFonts w:ascii="Arial" w:hAnsi="Arial" w:cs="Arial"/>
          <w:sz w:val="28"/>
        </w:rPr>
        <w:t>Кулагин Р.В</w:t>
      </w:r>
    </w:p>
    <w:p w:rsidR="001F3950" w:rsidRDefault="001F3950" w:rsidP="001F3950">
      <w:pPr>
        <w:pStyle w:val="1"/>
        <w:spacing w:line="360" w:lineRule="auto"/>
        <w:jc w:val="right"/>
        <w:rPr>
          <w:rFonts w:ascii="Arial" w:hAnsi="Arial" w:cs="Arial"/>
          <w:sz w:val="28"/>
        </w:rPr>
      </w:pPr>
    </w:p>
    <w:p w:rsidR="001F3950" w:rsidRDefault="001F3950" w:rsidP="001F3950">
      <w:pPr>
        <w:pStyle w:val="1"/>
        <w:spacing w:line="360" w:lineRule="auto"/>
        <w:jc w:val="right"/>
        <w:rPr>
          <w:rFonts w:ascii="Arial" w:hAnsi="Arial" w:cs="Arial"/>
          <w:sz w:val="28"/>
        </w:rPr>
      </w:pPr>
      <w:r>
        <w:rPr>
          <w:rFonts w:ascii="Arial" w:hAnsi="Arial" w:cs="Arial"/>
          <w:sz w:val="28"/>
        </w:rPr>
        <w:t>Проверил: преподаватель</w:t>
      </w:r>
    </w:p>
    <w:p w:rsidR="001F3950" w:rsidRDefault="002C0553" w:rsidP="001F3950">
      <w:pPr>
        <w:pStyle w:val="1"/>
        <w:spacing w:line="360" w:lineRule="auto"/>
        <w:jc w:val="right"/>
        <w:rPr>
          <w:rFonts w:ascii="Arial" w:hAnsi="Arial" w:cs="Arial"/>
          <w:sz w:val="28"/>
        </w:rPr>
      </w:pPr>
      <w:r>
        <w:rPr>
          <w:rFonts w:ascii="Arial" w:hAnsi="Arial" w:cs="Arial"/>
          <w:sz w:val="28"/>
        </w:rPr>
        <w:t>Родионова И.В</w:t>
      </w:r>
      <w:r w:rsidR="001F3950">
        <w:rPr>
          <w:rFonts w:ascii="Arial" w:hAnsi="Arial" w:cs="Arial"/>
          <w:sz w:val="28"/>
        </w:rPr>
        <w:t>.</w:t>
      </w: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Default="001F3950" w:rsidP="001F3950">
      <w:pPr>
        <w:pStyle w:val="1"/>
        <w:spacing w:line="360" w:lineRule="auto"/>
        <w:rPr>
          <w:rFonts w:ascii="Arial" w:hAnsi="Arial" w:cs="Arial"/>
          <w:sz w:val="28"/>
        </w:rPr>
      </w:pPr>
    </w:p>
    <w:p w:rsidR="001F3950" w:rsidRPr="002C0553" w:rsidRDefault="002C0553" w:rsidP="002C0553">
      <w:pPr>
        <w:pStyle w:val="1"/>
        <w:spacing w:line="360" w:lineRule="auto"/>
        <w:ind w:left="2832" w:firstLine="708"/>
        <w:jc w:val="left"/>
        <w:rPr>
          <w:rFonts w:ascii="Arial" w:hAnsi="Arial" w:cs="Arial"/>
          <w:sz w:val="28"/>
          <w:szCs w:val="28"/>
        </w:rPr>
      </w:pPr>
      <w:r>
        <w:rPr>
          <w:sz w:val="24"/>
          <w:szCs w:val="24"/>
        </w:rPr>
        <w:t xml:space="preserve">      </w:t>
      </w:r>
      <w:r w:rsidR="001F3950">
        <w:rPr>
          <w:sz w:val="24"/>
          <w:szCs w:val="24"/>
        </w:rPr>
        <w:t xml:space="preserve"> </w:t>
      </w:r>
      <w:r>
        <w:t>Москва 2011</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Геополитическая карта Европы как минимум состоит из трех крупных образований (ареалов) Первое из них — континентальный Запад, ядром которого можно назвать прежде всего Францию, Испанию, Португалию. К продвинутому Западу чаще всего относят Англию и США. Второе образование (ареал) — Средняя Европа Сюда входят Австрия, Венгрия, Германия, Италия. Третье образование — Европейская Россия Средняя Европа часто противостоит Европейскому Западу и Восточному, в каковой и включается и Россия.</w:t>
      </w:r>
    </w:p>
    <w:p w:rsidR="00525023" w:rsidRPr="009D2646" w:rsidRDefault="00525023" w:rsidP="00525023">
      <w:pPr>
        <w:pStyle w:val="a3"/>
        <w:spacing w:before="225" w:beforeAutospacing="0" w:after="225" w:afterAutospacing="0"/>
        <w:ind w:left="225" w:right="225"/>
        <w:rPr>
          <w:rFonts w:ascii="Arial" w:hAnsi="Arial" w:cs="Arial"/>
          <w:b/>
          <w:color w:val="000000"/>
          <w:sz w:val="21"/>
          <w:szCs w:val="21"/>
        </w:rPr>
      </w:pPr>
      <w:r w:rsidRPr="009D2646">
        <w:rPr>
          <w:rFonts w:ascii="Arial" w:hAnsi="Arial" w:cs="Arial"/>
          <w:b/>
          <w:color w:val="000000"/>
          <w:sz w:val="21"/>
          <w:szCs w:val="21"/>
        </w:rPr>
        <w:t>Тернистый путь Европы</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Первая мировая война внесла серьезнейшие коррективы в мировой расклад геополитических сил. Затем эти коррективы углубили Великая Октябрьская социалистическая революция и появление на карте мира сперва РСФСР, а затем и</w:t>
      </w:r>
      <w:r w:rsidR="002C0553">
        <w:rPr>
          <w:rFonts w:ascii="Arial" w:hAnsi="Arial" w:cs="Arial"/>
          <w:color w:val="000000"/>
          <w:sz w:val="21"/>
          <w:szCs w:val="21"/>
        </w:rPr>
        <w:t xml:space="preserve"> СССР. СССР и США</w:t>
      </w:r>
      <w:r>
        <w:rPr>
          <w:rFonts w:ascii="Arial" w:hAnsi="Arial" w:cs="Arial"/>
          <w:color w:val="000000"/>
          <w:sz w:val="21"/>
          <w:szCs w:val="21"/>
        </w:rPr>
        <w:t xml:space="preserve"> в течение полувека превратились в две сверхдержавы. В геополитическом плане с 50-х до 90-х годов Западная Европа, включая Великобританию, объективно играла роль буферной зоны. Из метрополии эти государства превратились в государства-сателлиты. Безусловно, такая роль не подходила сильным политикам типа бывшего Президента Франции, ее национального героя, генерала Шарля де Голля Ему принадлежит идея выйти из-под контроля США, создав ось Париж — Бонн. Эту попытку можно рассматривать как зародыш современной Европы, пытающейся путем глубокой интеграции создать сильную Европу, способную противостоять заокеанскому могучему покровителю. Внутри западноевропейского сообщества идут невидимые поверхностному взгляду перемены в отношениях США и Европы. На поверхности это выглядит как традиционное противостояние Парижа и Вашингтона. Оно касается в первую очередь условий “европеизации” НАТО, повышения в нем роли европейцев, а также реформы блока.</w:t>
      </w:r>
    </w:p>
    <w:p w:rsidR="00525023" w:rsidRPr="00525023" w:rsidRDefault="009D2646" w:rsidP="00525023">
      <w:pPr>
        <w:pStyle w:val="a3"/>
        <w:spacing w:before="225" w:beforeAutospacing="0" w:after="225" w:afterAutospacing="0"/>
        <w:ind w:left="225" w:right="225"/>
        <w:rPr>
          <w:rFonts w:ascii="Arial" w:hAnsi="Arial" w:cs="Arial"/>
          <w:b/>
          <w:color w:val="000000"/>
          <w:sz w:val="21"/>
          <w:szCs w:val="21"/>
        </w:rPr>
      </w:pPr>
      <w:r>
        <w:rPr>
          <w:rFonts w:ascii="Arial" w:hAnsi="Arial" w:cs="Arial"/>
          <w:color w:val="000000"/>
          <w:sz w:val="21"/>
          <w:szCs w:val="21"/>
        </w:rPr>
        <w:t>И</w:t>
      </w:r>
      <w:r w:rsidR="00525023">
        <w:rPr>
          <w:rFonts w:ascii="Arial" w:hAnsi="Arial" w:cs="Arial"/>
          <w:color w:val="000000"/>
          <w:sz w:val="21"/>
          <w:szCs w:val="21"/>
        </w:rPr>
        <w:t xml:space="preserve">дет усиление двусторонних связей: между европейскими державами (ФРГ — Франция), между малыми странами Северной Европы, между странами Балтийского региона Усиливаются </w:t>
      </w:r>
      <w:r>
        <w:rPr>
          <w:rFonts w:ascii="Arial" w:hAnsi="Arial" w:cs="Arial"/>
          <w:color w:val="000000"/>
          <w:sz w:val="21"/>
          <w:szCs w:val="21"/>
        </w:rPr>
        <w:t xml:space="preserve">интеграционные отношения </w:t>
      </w:r>
      <w:r w:rsidR="00525023">
        <w:rPr>
          <w:rFonts w:ascii="Arial" w:hAnsi="Arial" w:cs="Arial"/>
          <w:color w:val="000000"/>
          <w:sz w:val="21"/>
          <w:szCs w:val="21"/>
        </w:rPr>
        <w:t xml:space="preserve">в сфере политики, экономики, финансов. </w:t>
      </w:r>
      <w:r w:rsidR="00525023" w:rsidRPr="009D2646">
        <w:rPr>
          <w:rFonts w:ascii="Arial" w:hAnsi="Arial" w:cs="Arial"/>
          <w:color w:val="000000"/>
          <w:sz w:val="21"/>
          <w:szCs w:val="21"/>
        </w:rPr>
        <w:t>Конец XX в. ознаменовался созданием единой европейской валюты “евро” и отказом от таможенного контроля</w:t>
      </w:r>
      <w:r w:rsidR="00525023" w:rsidRPr="00525023">
        <w:rPr>
          <w:rFonts w:ascii="Arial" w:hAnsi="Arial" w:cs="Arial"/>
          <w:b/>
          <w:color w:val="000000"/>
          <w:sz w:val="21"/>
          <w:szCs w:val="21"/>
        </w:rPr>
        <w:t>.</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Маастрихтский договор </w:t>
      </w:r>
      <w:smartTag w:uri="urn:schemas-microsoft-com:office:smarttags" w:element="metricconverter">
        <w:smartTagPr>
          <w:attr w:name="ProductID" w:val="1992 г"/>
        </w:smartTagPr>
        <w:r>
          <w:rPr>
            <w:rFonts w:ascii="Arial" w:hAnsi="Arial" w:cs="Arial"/>
            <w:color w:val="000000"/>
            <w:sz w:val="21"/>
            <w:szCs w:val="21"/>
          </w:rPr>
          <w:t>1992 г</w:t>
        </w:r>
      </w:smartTag>
      <w:r>
        <w:rPr>
          <w:rFonts w:ascii="Arial" w:hAnsi="Arial" w:cs="Arial"/>
          <w:color w:val="000000"/>
          <w:sz w:val="21"/>
          <w:szCs w:val="21"/>
        </w:rPr>
        <w:t xml:space="preserve">. был первым крупным шагом в тесной экономической и политической интеграции большинства стран Западной Европы. Следующая встреча глав правительств в Амстердаме в </w:t>
      </w:r>
      <w:smartTag w:uri="urn:schemas-microsoft-com:office:smarttags" w:element="metricconverter">
        <w:smartTagPr>
          <w:attr w:name="ProductID" w:val="1997 г"/>
        </w:smartTagPr>
        <w:r>
          <w:rPr>
            <w:rFonts w:ascii="Arial" w:hAnsi="Arial" w:cs="Arial"/>
            <w:color w:val="000000"/>
            <w:sz w:val="21"/>
            <w:szCs w:val="21"/>
          </w:rPr>
          <w:t>1997 г</w:t>
        </w:r>
      </w:smartTag>
      <w:r>
        <w:rPr>
          <w:rFonts w:ascii="Arial" w:hAnsi="Arial" w:cs="Arial"/>
          <w:color w:val="000000"/>
          <w:sz w:val="21"/>
          <w:szCs w:val="21"/>
        </w:rPr>
        <w:t xml:space="preserve">. способствовала превращению Западной и Средней Европы в конфедеративное государство с единой валютой “евро” к </w:t>
      </w:r>
      <w:smartTag w:uri="urn:schemas-microsoft-com:office:smarttags" w:element="metricconverter">
        <w:smartTagPr>
          <w:attr w:name="ProductID" w:val="1999 г"/>
        </w:smartTagPr>
        <w:r>
          <w:rPr>
            <w:rFonts w:ascii="Arial" w:hAnsi="Arial" w:cs="Arial"/>
            <w:color w:val="000000"/>
            <w:sz w:val="21"/>
            <w:szCs w:val="21"/>
          </w:rPr>
          <w:t>1999 г</w:t>
        </w:r>
      </w:smartTag>
      <w:r>
        <w:rPr>
          <w:rFonts w:ascii="Arial" w:hAnsi="Arial" w:cs="Arial"/>
          <w:color w:val="000000"/>
          <w:sz w:val="21"/>
          <w:szCs w:val="21"/>
        </w:rPr>
        <w:t>.</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Амстердаме было принято принципиальное решение о приглашении в состав Евросоюза десяти стран Центральной и Восточной Европы, бывших членов СЭВ и даже некоторых республик бывшего Советского Союза: Польши, Венгрии, Чехии, Словакии, Болгарии, Румынии, Албании, Эстонии, Латвии и Литвы Таким образом, Евросоюз будет к XXI в значительно расширен. В перспективе это может иметь негативные последствия для России, так как рынок этих стран будет отгорожен от нее еще более мощным таможенным барьером, чем в конце ХХ в. Из года в год члены ЕС расширяют дискриминацию российских товаров путем повышения пошлин.</w:t>
      </w: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9D2646" w:rsidRDefault="009D2646" w:rsidP="00525023">
      <w:pPr>
        <w:pStyle w:val="a3"/>
        <w:spacing w:before="225" w:beforeAutospacing="0" w:after="225" w:afterAutospacing="0"/>
        <w:ind w:left="225" w:right="225"/>
        <w:rPr>
          <w:rFonts w:ascii="Arial" w:hAnsi="Arial" w:cs="Arial"/>
          <w:color w:val="000000"/>
          <w:sz w:val="21"/>
          <w:szCs w:val="21"/>
        </w:rPr>
      </w:pPr>
    </w:p>
    <w:p w:rsidR="00525023" w:rsidRPr="009D2646" w:rsidRDefault="00525023" w:rsidP="00525023">
      <w:pPr>
        <w:pStyle w:val="a3"/>
        <w:spacing w:before="225" w:beforeAutospacing="0" w:after="225" w:afterAutospacing="0"/>
        <w:ind w:left="225" w:right="225"/>
        <w:rPr>
          <w:rFonts w:ascii="Arial" w:hAnsi="Arial" w:cs="Arial"/>
          <w:b/>
          <w:color w:val="000000"/>
          <w:sz w:val="21"/>
          <w:szCs w:val="21"/>
        </w:rPr>
      </w:pPr>
      <w:r w:rsidRPr="009D2646">
        <w:rPr>
          <w:rFonts w:ascii="Arial" w:hAnsi="Arial" w:cs="Arial"/>
          <w:b/>
          <w:color w:val="000000"/>
          <w:sz w:val="21"/>
          <w:szCs w:val="21"/>
        </w:rPr>
        <w:t>Германия и Россия</w:t>
      </w:r>
    </w:p>
    <w:p w:rsidR="009D2646"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Геополитически Германия напоминает СССР, а сейчас — Россию. Она находится в центре европейского континента, как нынешняя РФ в центре Евразии. С западной стороны их окружают сравнительно небольшие государства, а с восточной — мощные континентальные страны.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Объединенная Германия не вписывается в тесные рамки, отведенные ей США, ее экономическая мощь раздвигает эти рамки. В 80-е — 90-е годы динамично рос ее валовой национальный продукт, превосходя по темпам показатели Франции почти в 2</w:t>
      </w:r>
      <w:r w:rsidR="009D2646">
        <w:rPr>
          <w:rFonts w:ascii="Arial" w:hAnsi="Arial" w:cs="Arial"/>
          <w:color w:val="000000"/>
          <w:sz w:val="21"/>
          <w:szCs w:val="21"/>
        </w:rPr>
        <w:t xml:space="preserve"> раза</w:t>
      </w:r>
      <w:r>
        <w:rPr>
          <w:rFonts w:ascii="Arial" w:hAnsi="Arial" w:cs="Arial"/>
          <w:color w:val="000000"/>
          <w:sz w:val="21"/>
          <w:szCs w:val="21"/>
        </w:rPr>
        <w:t>, “Великобритании — в 2,5</w:t>
      </w:r>
      <w:r w:rsidR="009D2646">
        <w:rPr>
          <w:rFonts w:ascii="Arial" w:hAnsi="Arial" w:cs="Arial"/>
          <w:color w:val="000000"/>
          <w:sz w:val="21"/>
          <w:szCs w:val="21"/>
        </w:rPr>
        <w:t xml:space="preserve"> раза</w:t>
      </w:r>
      <w:r>
        <w:rPr>
          <w:rFonts w:ascii="Arial" w:hAnsi="Arial" w:cs="Arial"/>
          <w:color w:val="000000"/>
          <w:sz w:val="21"/>
          <w:szCs w:val="21"/>
        </w:rPr>
        <w:t>, а США — в 4,5 раза: На ФРГ к концу XX в. приходится около 13% мирового экспорта (Японию — 11%, США — 10%), баланс текущих платежей на рубежа веков дает ФРГ ежегодное активное сальдо в отличие от Великобритании и США. Нынешняя Германия неприемлема для двух последних государств. Вот почему в свое время бывший премьер-министр Англии М. Тэтчер предостерегала бывшего генерального секретаря ЦК КПСС М. С. Горбачева от опрометчивого решения вывести войска из ФРГ. Новая, переструктурированная Европа, находящаяся в тени, отбрасываемой объединенной Германией, не устраивает и ориентированные на США малые государства: Данию, Норвегию, Португалию.</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Перераспределение геополитических сил, капиталов по сути только началось. Но ясно видна тенденция движения германского капитала на Восток: в Россию, Австрию, Чехию, Венгрию, Украину, Польшу, Прибалтику, Балканы и т. п. Только одна Россия должна Германии более $60 млрд. Поэтому можно утверждать, что никто и ничто не сможет остановить процесс формирования среднеевропейского экономичес</w:t>
      </w:r>
      <w:r w:rsidR="009D2646">
        <w:rPr>
          <w:rFonts w:ascii="Arial" w:hAnsi="Arial" w:cs="Arial"/>
          <w:color w:val="000000"/>
          <w:sz w:val="21"/>
          <w:szCs w:val="21"/>
        </w:rPr>
        <w:t xml:space="preserve">кого пространства </w:t>
      </w:r>
      <w:r>
        <w:rPr>
          <w:rFonts w:ascii="Arial" w:hAnsi="Arial" w:cs="Arial"/>
          <w:color w:val="000000"/>
          <w:sz w:val="21"/>
          <w:szCs w:val="21"/>
        </w:rPr>
        <w:t xml:space="preserve"> под немецким контролем. Все это заставляет американцев подчеркивать, что обстановка в Европе и мире потенциально более взрывоопасна, чем накануне Второй мировой войны.</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Франко-германское военное сотрудничество таит в себе риск отделения американской мощи от Европы... если Германия перенесет весь свой вес на Восток, то Европейское сообщество будет сведено к роли младшего партнера. Германия... может стать нашей главной головной болью в Европе".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Таким образом, американцы не видят себя победителем в Центральной Европе, поэтому прилагают все силы на блокирование ФРГ с востока и юго-востока. В качестве такого санитарного кордона вокруг Германии, по мысли лидеров США, должны выступать Польша, где очень сильны антинемецкие настроения, Россия, Турция, Израиль, Египет, а также нынешняя Сербия, где велика национальная “аллергия” на немецкое присутствие.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Конечно, объединенная Германия сможет успешно решить геополитические и внешнеэкономические проблемы только в том случае, если справится с внутренними экономическими и политическими задачами. Это прежде всего проблема восточных земель, где простаивает большая часть промышленных предприятий, безработица в отдельных секторах экономики составляет до 50% самодеятельного населения, а 40% избирателей всегда готовы проголосовать за социалистов. Ставит под вопрос решение обозначенных геополитических задач и сложная демографическая обстановка в стране. Если в </w:t>
      </w:r>
      <w:smartTag w:uri="urn:schemas-microsoft-com:office:smarttags" w:element="metricconverter">
        <w:smartTagPr>
          <w:attr w:name="ProductID" w:val="1985 г"/>
        </w:smartTagPr>
        <w:r>
          <w:rPr>
            <w:rFonts w:ascii="Arial" w:hAnsi="Arial" w:cs="Arial"/>
            <w:color w:val="000000"/>
            <w:sz w:val="21"/>
            <w:szCs w:val="21"/>
          </w:rPr>
          <w:t>1985 г</w:t>
        </w:r>
      </w:smartTag>
      <w:r>
        <w:rPr>
          <w:rFonts w:ascii="Arial" w:hAnsi="Arial" w:cs="Arial"/>
          <w:color w:val="000000"/>
          <w:sz w:val="21"/>
          <w:szCs w:val="21"/>
        </w:rPr>
        <w:t xml:space="preserve">. в ФРГ дети (возраст до 15 лет) составляли 16% населения, а трудоспособные (16— 64 года) — 69%, то прогноз на </w:t>
      </w:r>
      <w:smartTag w:uri="urn:schemas-microsoft-com:office:smarttags" w:element="metricconverter">
        <w:smartTagPr>
          <w:attr w:name="ProductID" w:val="2025 г"/>
        </w:smartTagPr>
        <w:r>
          <w:rPr>
            <w:rFonts w:ascii="Arial" w:hAnsi="Arial" w:cs="Arial"/>
            <w:color w:val="000000"/>
            <w:sz w:val="21"/>
            <w:szCs w:val="21"/>
          </w:rPr>
          <w:t>2025 г</w:t>
        </w:r>
      </w:smartTag>
      <w:r>
        <w:rPr>
          <w:rFonts w:ascii="Arial" w:hAnsi="Arial" w:cs="Arial"/>
          <w:color w:val="000000"/>
          <w:sz w:val="21"/>
          <w:szCs w:val="21"/>
        </w:rPr>
        <w:t xml:space="preserve">. — 11 и 65% соответственно, на </w:t>
      </w:r>
      <w:smartTag w:uri="urn:schemas-microsoft-com:office:smarttags" w:element="metricconverter">
        <w:smartTagPr>
          <w:attr w:name="ProductID" w:val="2035 г"/>
        </w:smartTagPr>
        <w:r>
          <w:rPr>
            <w:rFonts w:ascii="Arial" w:hAnsi="Arial" w:cs="Arial"/>
            <w:color w:val="000000"/>
            <w:sz w:val="21"/>
            <w:szCs w:val="21"/>
          </w:rPr>
          <w:t>2035 г</w:t>
        </w:r>
      </w:smartTag>
      <w:r>
        <w:rPr>
          <w:rFonts w:ascii="Arial" w:hAnsi="Arial" w:cs="Arial"/>
          <w:color w:val="000000"/>
          <w:sz w:val="21"/>
          <w:szCs w:val="21"/>
        </w:rPr>
        <w:t>. - 9,7 и 60,3%.2</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Другая важная проблема объединенной Германии — сырьевая зависимость. Справиться с сырьевой проблемой Германии может помочь только Россия. Сотрудничество крупнейшей газовой компании ФРГ “Рургаз” с российской газовой промышленностью началось в </w:t>
      </w:r>
      <w:smartTag w:uri="urn:schemas-microsoft-com:office:smarttags" w:element="metricconverter">
        <w:smartTagPr>
          <w:attr w:name="ProductID" w:val="1970 г"/>
        </w:smartTagPr>
        <w:r>
          <w:rPr>
            <w:rFonts w:ascii="Arial" w:hAnsi="Arial" w:cs="Arial"/>
            <w:color w:val="000000"/>
            <w:sz w:val="21"/>
            <w:szCs w:val="21"/>
          </w:rPr>
          <w:t>1970 г</w:t>
        </w:r>
      </w:smartTag>
      <w:r>
        <w:rPr>
          <w:rFonts w:ascii="Arial" w:hAnsi="Arial" w:cs="Arial"/>
          <w:color w:val="000000"/>
          <w:sz w:val="21"/>
          <w:szCs w:val="21"/>
        </w:rPr>
        <w:t xml:space="preserve">. К </w:t>
      </w:r>
      <w:smartTag w:uri="urn:schemas-microsoft-com:office:smarttags" w:element="metricconverter">
        <w:smartTagPr>
          <w:attr w:name="ProductID" w:val="1991 г"/>
        </w:smartTagPr>
        <w:r>
          <w:rPr>
            <w:rFonts w:ascii="Arial" w:hAnsi="Arial" w:cs="Arial"/>
            <w:color w:val="000000"/>
            <w:sz w:val="21"/>
            <w:szCs w:val="21"/>
          </w:rPr>
          <w:t>1991 г</w:t>
        </w:r>
      </w:smartTag>
      <w:r>
        <w:rPr>
          <w:rFonts w:ascii="Arial" w:hAnsi="Arial" w:cs="Arial"/>
          <w:color w:val="000000"/>
          <w:sz w:val="21"/>
          <w:szCs w:val="21"/>
        </w:rPr>
        <w:t>. через “Рургаз” в Западную Германию поставлено около 400 млрд. м3 газа. России эти поставки приносят огромные “живые” деньги, в то время как внутри страны “</w:t>
      </w:r>
      <w:r w:rsidR="009D2646">
        <w:rPr>
          <w:rFonts w:ascii="Arial" w:hAnsi="Arial" w:cs="Arial"/>
          <w:color w:val="000000"/>
          <w:sz w:val="21"/>
          <w:szCs w:val="21"/>
        </w:rPr>
        <w:t>живые” деньги едва превышают 3%</w:t>
      </w:r>
      <w:r>
        <w:rPr>
          <w:rFonts w:ascii="Arial" w:hAnsi="Arial" w:cs="Arial"/>
          <w:color w:val="000000"/>
          <w:sz w:val="21"/>
          <w:szCs w:val="21"/>
        </w:rPr>
        <w:t xml:space="preserve">. Благодаря сотрудничеству с “Рургазом” Россия в ближайшие годы выйдет на рынки Испании, Португалии, а в перспективе — и Великобритании, т. е. будет создана общеевропейская газовая система. </w:t>
      </w:r>
    </w:p>
    <w:p w:rsidR="00525023" w:rsidRPr="006175E1" w:rsidRDefault="00525023" w:rsidP="00525023">
      <w:pPr>
        <w:pStyle w:val="a3"/>
        <w:spacing w:before="225" w:beforeAutospacing="0" w:after="225" w:afterAutospacing="0"/>
        <w:ind w:left="225" w:right="225"/>
        <w:rPr>
          <w:rFonts w:ascii="Arial" w:hAnsi="Arial" w:cs="Arial"/>
          <w:b/>
          <w:color w:val="000000"/>
          <w:sz w:val="21"/>
          <w:szCs w:val="21"/>
        </w:rPr>
      </w:pPr>
      <w:r w:rsidRPr="006175E1">
        <w:rPr>
          <w:rFonts w:ascii="Arial" w:hAnsi="Arial" w:cs="Arial"/>
          <w:b/>
          <w:color w:val="000000"/>
          <w:sz w:val="21"/>
          <w:szCs w:val="21"/>
        </w:rPr>
        <w:t>Россия — Италия</w:t>
      </w:r>
    </w:p>
    <w:p w:rsidR="00525023" w:rsidRDefault="00525023" w:rsidP="00786BF2">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Отношения между Россией и Италией в конце XX в. характеризуются как дружеские. Между двумя странами нет серьезных политических, экономических и тем более территориальных проблем. В геополитическом плане Италия играет все более активную роль, особенно на Востоке. И Рим хотел бысделать контакты с российской стороной более частыми и более регулярными, как мы, например, уже сделали в отношении Германии и Франции. Мы хотели бы развивать прямой диалог именно потому, что сегодня наше присутствие в России сопоставимо с присутствием в других крупных странах, и нам хотелось бы его расширять13.</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Безусловно, проблемы инвестиций в российскую экономику, подготовка менеджеров имеют немаловажное значение, но решающим моментом в отн</w:t>
      </w:r>
      <w:r w:rsidR="00786BF2">
        <w:rPr>
          <w:rFonts w:ascii="Arial" w:hAnsi="Arial" w:cs="Arial"/>
          <w:color w:val="000000"/>
          <w:sz w:val="21"/>
          <w:szCs w:val="21"/>
        </w:rPr>
        <w:t>ошениях Москвы и Рима, по-моему</w:t>
      </w:r>
      <w:r>
        <w:rPr>
          <w:rFonts w:ascii="Arial" w:hAnsi="Arial" w:cs="Arial"/>
          <w:color w:val="000000"/>
          <w:sz w:val="21"/>
          <w:szCs w:val="21"/>
        </w:rPr>
        <w:t xml:space="preserve"> мнению, является важное в геополитическом плане местоположение Италии как центра самого крупного и сложного региона — Средиземноморья, Балкан. Это, как считает большинство ученых, родина цивилизации — Древний Египет, Вавилон, Греция, Римская империя. Арабский Халифат. Современная Италия выполняет здесь сейчас и экономические, и политические функции, являясь сильным геополитическим полем. Объективно она заинтересована в том, чтобы Россия нового тысячелетия возобновила постоянные контакты со странами Средиземноморья. Ей надо восстановить дорогу на юг, что прочно связывала бывший Советский Союз с Балканами и Ближним Востоком. Этой дорогой пользовалась и Италия. Для нее это “один из основных экономических путей, который был прерван долгие годы”. Рим объективно заинтересован в том, чтобы Средиземноморье стало центром новой экономической активности и зоной мира.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Отсюда вытекает необходимость решения двух основополагающих политических, геополитических проблем: достижение прочного мира на Ближнем Востоке и установление конструктивных отношений между </w:t>
      </w:r>
      <w:r w:rsidR="00786BF2">
        <w:rPr>
          <w:rFonts w:ascii="Arial" w:hAnsi="Arial" w:cs="Arial"/>
          <w:color w:val="000000"/>
          <w:sz w:val="21"/>
          <w:szCs w:val="21"/>
        </w:rPr>
        <w:t>христианским и исламским миром</w:t>
      </w:r>
      <w:r>
        <w:rPr>
          <w:rFonts w:ascii="Arial" w:hAnsi="Arial" w:cs="Arial"/>
          <w:color w:val="000000"/>
          <w:sz w:val="21"/>
          <w:szCs w:val="21"/>
        </w:rPr>
        <w:t>. Поэтому Россия призвана стать главным действующим лицом в решении этих вопросов. Таким образом, пути решения многих важнейших геополитических проблем, связывающих Москву и Рим, ведут на Восток, и огромные возможности для двух стран открываются тоже на Востоке.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Италия выступает за повышение роли России не только в Средиземноморье, но и в Европе, за предоставление ей экономических, таможенных, инвестиционных льгот. В целом поддерживая расширение НАТО на Восток, она призывает к учету интересов Москвы, так как иначе расширение НАТО “вызовет напряженность в России, мы получим результат, противоположный желаемому”. Итальянский политик Р. Проди считает, что полная интеграция России в Европейские структуры — более важный фактор, чем простой договор об обороне.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Когда вы связали страны сначала таможенной, затем одинаковой платежной политикой, когда появились общие институты, возникают связи значительно более крепкие, чем военный альянс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Итак, мы видим, что в геополитическом, экономическом, культурном и другом планах Италия представляет для России в долгосрочной перспективе потенциального союзника в Европе, заинтересованного в создании многополюсного мира, где бы каждый зависел от каждого и тем поддерживался геополитический расклад сил.</w:t>
      </w:r>
    </w:p>
    <w:p w:rsidR="00525023" w:rsidRPr="00967441" w:rsidRDefault="00967441" w:rsidP="00525023">
      <w:pPr>
        <w:pStyle w:val="a3"/>
        <w:spacing w:before="225" w:beforeAutospacing="0" w:after="225" w:afterAutospacing="0"/>
        <w:ind w:left="225" w:right="225"/>
        <w:rPr>
          <w:rFonts w:ascii="Arial" w:hAnsi="Arial" w:cs="Arial"/>
          <w:b/>
          <w:color w:val="000000"/>
          <w:sz w:val="21"/>
          <w:szCs w:val="21"/>
        </w:rPr>
      </w:pPr>
      <w:r w:rsidRPr="00967441">
        <w:rPr>
          <w:rFonts w:ascii="Arial" w:hAnsi="Arial" w:cs="Arial"/>
          <w:b/>
          <w:color w:val="000000"/>
          <w:sz w:val="21"/>
          <w:szCs w:val="21"/>
        </w:rPr>
        <w:t>Балканы — “пороховая бочка”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Одним из важнейших геополитических, стратегических приоритетов России остаются Балканы, которые занимают ключевое положение в российской политике еще с XIX в.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Балканы и сейчас остаются в поле зрения политиков и геостратегов Москвы. В центре внимания России есть несколько важных в геополитическом плане целей: не допустить дипломатической изоляции Москвы в Белграде, Сараево, Софии; сдерживать аппетиты Запада, вмешивающегося во внутреннюю политику славянских народов (особенно здесь усердствует Германия); обеспечить ведущую роль России в балканской игре, в частности, помешать атлантистам “навязать” сербам, болгарам решение их безопасности, которое бы исключало присутствие здесь Москвы; в международном плане добиться того, чтобы судьбы славянских народов прежде всего определял Совет Безопасности ООН, а не США, Германия или Англия. Глобальная цель всех этих шагов — предотвращение боевых действий на Балканах. В геостратегическом плане Москва всегда стремилась к предотвращению попыток Запада сделать НАТО, а не ООН стержнем системы европейской безопасности.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Однако в силу ряда причин геополитической инициативой на Балканах в конце XX в. владеют США и Германия. Россия вынуждена ограничиться незначительной ролью в международных силах под командованием НАТО.</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Улучшению политических отношений России с Болгарией и Сербией мешает исторический спор между этими двумя странами по поводу Македонии. А поспешное признание Москвой Македонии в </w:t>
      </w:r>
      <w:smartTag w:uri="urn:schemas-microsoft-com:office:smarttags" w:element="metricconverter">
        <w:smartTagPr>
          <w:attr w:name="ProductID" w:val="1992 г"/>
        </w:smartTagPr>
        <w:r>
          <w:rPr>
            <w:rFonts w:ascii="Arial" w:hAnsi="Arial" w:cs="Arial"/>
            <w:color w:val="000000"/>
            <w:sz w:val="21"/>
            <w:szCs w:val="21"/>
          </w:rPr>
          <w:t>1992 г</w:t>
        </w:r>
      </w:smartTag>
      <w:r>
        <w:rPr>
          <w:rFonts w:ascii="Arial" w:hAnsi="Arial" w:cs="Arial"/>
          <w:color w:val="000000"/>
          <w:sz w:val="21"/>
          <w:szCs w:val="21"/>
        </w:rPr>
        <w:t xml:space="preserve">. осложнило отношения с Грецией.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Сложные отношения у России сохраняются с Албанией. Она не поддерживает Тирану в вопросе о Косово, не может оказать Албании какой-либо экономической помощи.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С геополитической точки зрения наибольший смысл имеет поддержка Сербии, так как это дает возможность России присутствовать на Балканах и играть там решающую роль. А сильная Сербия служит важным противовесом нарастающему влиянию Турции в Черном море, в Болгарии и на Балканах.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Дестабилизация положения на Балканах явилась одной из причин обострения геополитического соперничества между Россией и Турцией. Как известно, это противостояние имеет глубокие исторические корни. А в 90-х годах Турция начала проводить более активную политику на Балканах: укрепила связи с Болгарией, Албанией, вместе с другими исламскими государствами поддержала Боснию и Герцеговину. Разрушение Советского Союза открыло новые возможности для усиления влияния Анкары на Кавказе и в Средней Азии. Обостряющееся геостратегическое противостояние России и Турции может быть перенесено на Балканы, так как этому способствует и усиление трений вокруг Босфора и Дарданелл. Все это вместе взятое, а также другие причины являются для России серьезным фактором, чтобы не уходить с Балкан, укреплять отношения не только с Болгарией, Сербией, но и с Грецией, активно противостоящей Турции.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Политика России по отношению к Молдове, которая в прошлом принадлежала Румынии, в геополитическом, геостратегическом плане, — камень преткновения. Поэтому Молдавия будет в обозримом будущем сильной помехой соглашению с Румынией.</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Наибольшие геополитические выходы Москва получит, укрепляя всесторонние контакты с Болгарией, Сербией и Грецией,</w:t>
      </w:r>
    </w:p>
    <w:p w:rsidR="00525023" w:rsidRPr="00967441" w:rsidRDefault="00525023" w:rsidP="00525023">
      <w:pPr>
        <w:pStyle w:val="a3"/>
        <w:spacing w:before="225" w:beforeAutospacing="0" w:after="225" w:afterAutospacing="0"/>
        <w:ind w:left="225" w:right="225"/>
        <w:rPr>
          <w:rFonts w:ascii="Arial" w:hAnsi="Arial" w:cs="Arial"/>
          <w:b/>
          <w:color w:val="000000"/>
          <w:sz w:val="21"/>
          <w:szCs w:val="21"/>
        </w:rPr>
      </w:pPr>
      <w:r w:rsidRPr="00967441">
        <w:rPr>
          <w:rFonts w:ascii="Arial" w:hAnsi="Arial" w:cs="Arial"/>
          <w:b/>
          <w:color w:val="000000"/>
          <w:sz w:val="21"/>
          <w:szCs w:val="21"/>
        </w:rPr>
        <w:t>Восточная Европа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На протяжении столетий Восточная Европа чаще всего была объектом, а не субъектом глобальной мировой политики. В последние десятилетия с этим регионом напрямую связаны интересы держав Европы, а на исходе XX в. — и мира. Нередко она являлась источником конфликтов между великими державами. Обе мировые войны начались в этом регионе, так как в нем сошлись главные геополитические противоречия между самыми могущественными странами мира.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Многое разделяет страны Восточной и Западной Европы (экономические, культурно-исторические факторы: разные социально-политические идеалы.).</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Торгово-экономические, экспортно-сырьевые и другие факторы предопределяют тяготение большей части Восточной Европы к России, а не к Западным странам. На основе этого можно утверждать, что Запад вряд ли в исторической перспективе получит выигрыш, привлекая к себе страны этого региона, добиваясь ослабления России. Путь культивирования у населения стран региона неприязни к России — это тупиковый путь (прежде всего для самих государств Восточной Европы). Россия тоже чрезвычайно заинтересована в нормализации отношений с соседями. История и география обусловили заинтересованность России в добрососедских, торгово-экономических контактах с Восточной Европой. Они отвечают ее безопасности, ее коренным интересам.</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силу обстоятельств к концу XX в. Россия может выходить на страны Восточной Европы только через суверенные государства — Украину и Белоруссию, исключением является анклав</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Калининградская область, будущность которого тоже вызывает много вопросов. Этот фактор (ограничение, сужение географического пространства России) внес фундаментальные изменения в отечественные геополитические возможности. Изменения, произошедшие в регионе за последние 12—15 лет, вновь превратили Европу в серьезный источник международной напряженности. Очаг этой напряженности — не только страны Восточной Европы, но и Калининградская область, и страны Прибалтики.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Политико-психологический климат в регионе, за исключением Калининградского анклава, неблагоприятен для России. Но он также неблагоприятен и для стран Запада (в Польше, Словакии, например, чрезвычайно сильны антигерманские настроения). Это объясняется во многом тем, что народы Восточной Европы десятилетиями были разменной монетой в руках политиков стран Запада. Положение стран — сателлитов той или иной державы — Запада или Востока — давало, конечно, и определенные выгоды, но они не могли ослабить общего впечатления от сугубо подчиненного положения стран региона. Подобное статус-кво после войны устраивало в определенной мере и СССР и Запад. Система государств-сателлитов, или клиентов, была своего рода буфером, “санитарным кордоном” между Востоком и Западом, обеспечивающим относительную безопасность существования двух блоков. И включение стран Восточной Европы в сферу влияния Запада — далеко не однозначный исторический факт.</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объединении Германии уже заложен узел многих европейских противоречий. Оно принесло не только позитивные результаты. Даже для мощной экономики ФРГ объединение принесло пока больше минусов, чем плюсов. А присоединение государств Восточной Европы к Западу произошло на правах бедных родственников. Это предопределяет качество всех отношений между странами Европы. В перспективе этот регион может превратиться в “Балканы”. События в Югославии — только предвестник обострения межнациональных и межгосударственных отношений. Распад Чехословакии — начало цепной реакции размежевания. Некоторые западные политологи утверждают, что Европа XXI в. будет иметь больше общего с Европой XIX в., чем с Европой середины уходящего столетия. В XIX в. здесь царило буржуазное соперничество, приводившее к цепи бесконечных конфликтов. Сейчас, как и тогда, в качестве пороховой бочки выступает Югославия, где в течение почти 10 лет тлеет “бикфордов шнур” межнациональных конфликтов, периодически перерастающих в военное противостояние.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Структуры, созданные в Западной Европе после </w:t>
      </w:r>
      <w:smartTag w:uri="urn:schemas-microsoft-com:office:smarttags" w:element="metricconverter">
        <w:smartTagPr>
          <w:attr w:name="ProductID" w:val="1945 г"/>
        </w:smartTagPr>
        <w:r>
          <w:rPr>
            <w:rFonts w:ascii="Arial" w:hAnsi="Arial" w:cs="Arial"/>
            <w:color w:val="000000"/>
            <w:sz w:val="21"/>
            <w:szCs w:val="21"/>
          </w:rPr>
          <w:t>1945 г</w:t>
        </w:r>
      </w:smartTag>
      <w:r>
        <w:rPr>
          <w:rFonts w:ascii="Arial" w:hAnsi="Arial" w:cs="Arial"/>
          <w:color w:val="000000"/>
          <w:sz w:val="21"/>
          <w:szCs w:val="21"/>
        </w:rPr>
        <w:t>., сейчас или значительно ослаблены, или сталкиваются с неопределенностью целей. “Фрагментация” нынешней Европы позволяет утверждать, что реальная угроза безопасности европейским государствам исходит не извне, а друг от друга. Развитие Восточной Европы определяют такие факторы, как стремление к суверенности, возрождению и рост национализма. Они носят объективный характер, этот процесс присущ почти всем без исключения странам мира. Набирает силу тенденция возрождения коалиций и союзов между группами государств. В Европе создаются подобные коалиции для решения в короткие сроки экономических, политических, территориальных, экологических и других важных проблем. Например, союзы Венгрии и Чехословакии, Польши, Австрии, Италии. Расширяются между ними двусторонние связи. Все больше умов захватывает идея создания Европейской безопасности в противовес НАТО. Но в пику этой идее усиленно пропагандируется тезис западного “ядра мощи”, превращения его в “ядро мировой мощи”, при этом страны Восточной Европы должны будут поддерживать усилия “ядра” в институционализации демократии и становлении рыночной экономики.</w:t>
      </w:r>
    </w:p>
    <w:p w:rsidR="00967441"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Региональная геополитика выступает в этих концепциях как звено общей глобальной геополитики. Она должна способствовать реализации геополитических устремлений стран Запада, прежде всего США, Германии, Франции. Фактически транснациональные компании меньше всего берут в расчет такие понятия, как суверенитет восточноевропейских государств, что идет в разрез с основными тенденциями, протекающими в регионе.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Произошедшие территориальные изменения, рост экономической и политической мощи объективно подталкивают Германию на 'изменение статус-кво, утверждение в роли вершителя судеб Европы, а в перспективе — и мира. Признаками таких потенциальных притязаний являются действия германского политического руководства по дестабилизации положения в Югославии, вмешательство в события в Албании, соучастие вместе с американскими и английскими войсками в депортации сербских лидеров, готовность вмешаться в события в Ираке. В ближайшем будущем следует ожидать возрождения, хотя в иных формах и при иной аргументации, старой концепции общеевропейской роли Германии, а в перспективе — претензии на роль мирового гегемона. Многие европейцы (особенно французы и англичане) высказывают опасения, что в центре континента может появиться "Четвертый рейх". Об этом в свое время говорила М. С. Горбачеву бывший премьер-министр Англии М. Тэтчер. Именно этим можно объяснить вновь вспыхнувшую страсть в Германии к публичным обсуждениям концепций отцов — геополитиков, особенно концепции Центральной (Срединной) Европ</w:t>
      </w:r>
      <w:r w:rsidR="00967441">
        <w:rPr>
          <w:rFonts w:ascii="Arial" w:hAnsi="Arial" w:cs="Arial"/>
          <w:color w:val="000000"/>
          <w:sz w:val="21"/>
          <w:szCs w:val="21"/>
        </w:rPr>
        <w:t xml:space="preserve">ы. </w:t>
      </w:r>
      <w:r>
        <w:rPr>
          <w:rFonts w:ascii="Arial" w:hAnsi="Arial" w:cs="Arial"/>
          <w:color w:val="000000"/>
          <w:sz w:val="21"/>
          <w:szCs w:val="21"/>
        </w:rPr>
        <w:t xml:space="preserve">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Нельзя забывать сейчас и такое немаловажное обстоятельстство, как растущее желание немцев “восстановить историческую справедливость”. Сделать это можно, как они полагают, путем возвращения территории бывшей Восточной Пруссии. Конечно, мир значительно изменился не только за последние 150 лет, но даже за последнюю половину нынешнего столетия. Признаком этих перемен могут служить весомые шаги в сферах экономики, финансов, политики в Европе. Целенаправленно осуществляется курс на интеграцию стран Западной Европы: упрочнение экономических связей, политического союза (Европарламент в Стграсбурге), финансов (вхождение в Европе в оборот новой обобщеевропейской валюты — “евро”).</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Скорее всего усилия Германии будут направлены на Восток, как на наиболее слабое звено в окружающих ее странах. И применять она будет не военные, а экономические средства. Экономический поход на Восток по сути уже начался. Инвестиционная экспансия ведется против всех стран, включая, конечно, и Россию. Направление экспансии на Запад исключается по многим причинам. Важнейшие из них — экономическая и политическая стабильность больших стран Западной Европы, а также присутствие войск США.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Нейтрализация влияния, экспансии Германии может быть осуществлена активной внешней политикой России, развитием более тесного сотрудничества с другими мощными европейскими державами и прежде всего с Францией. Второе средство, играющее вспомогательную роль, — подключение РФ к западноевропейским структурам. Важно только не сводить это подключение к роли России в качестве сырьевого придатка Европы (хотя энергоносители тоже можно превратить в козырную карту), а главным образом активно включиться в межгосударственную кооперацию, в общественное разделение труда, когда каждый зависит от каждого. В иных случаях, особенно при социально-экономических потрясениях, в Германии могут значительно окрепнуть пока что довольно слабые реваншистские силы. Они при определенных условиях смогут оказывать серьезное влияние на внешнеполитический курс страны. Таким образом, лидерам стран Восточной Европы надо помнить, что германский экспансионизм в потенциале сохранился. Надо не забывать об этом и народам стран Прибалтики, которые в конце XX в. добровольно стремятся в геополитическое поле Запада и прежде всего Северной Европы и Германии.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Суммируя сказанное, можно сделать вывод, что в Европе идет процесс возврата от биполярной военно-политической структуры к динамично развивающейся многополярной системе международных отношений. Военные проблемы в данном процессе пока играют важную роль, но к концу XX в. центр тяжести переместился в сторону финансово-экономических проблем — это во-первых. Во-вторых, в Европе формируется фрагментарная система национальных государств (страны Прибалтики тяготеют больше к Скандинавии, Польша, Венгрия, Чехия — к Германии и т. д.). Страны Восточной Европы образуют временные коалиции, которые текучи, меняют свои ориентиры, исходя из сиюминутных интересов (чаще всего финансовых, экономических, политических, военных). Эти интересы нередко формулируются политиками-однодневками, носят субъективно-вкусовой характер, не отмечены печатью серьезного анализа присущей современности глубокой всеобъемлющей взаимозависимости. Но нельзя забывать, что эта взаимозависимость может быть разрушена ростом национализма и сепаратизма национальных государств (как произошло со странами Восточного блока, с Советским Союзом). Трения на национальной основе стали одним из важнейших признаков и тревог не только стран Прибалтики, Восточной и Западной Европы, но и всего мира.</w:t>
      </w:r>
    </w:p>
    <w:p w:rsidR="00525023" w:rsidRPr="00967441" w:rsidRDefault="00525023" w:rsidP="00525023">
      <w:pPr>
        <w:pStyle w:val="a3"/>
        <w:spacing w:before="225" w:beforeAutospacing="0" w:after="225" w:afterAutospacing="0"/>
        <w:ind w:left="225" w:right="225"/>
        <w:rPr>
          <w:rFonts w:ascii="Arial" w:hAnsi="Arial" w:cs="Arial"/>
          <w:b/>
          <w:color w:val="000000"/>
          <w:sz w:val="21"/>
          <w:szCs w:val="21"/>
        </w:rPr>
      </w:pPr>
      <w:r w:rsidRPr="00967441">
        <w:rPr>
          <w:rFonts w:ascii="Arial" w:hAnsi="Arial" w:cs="Arial"/>
          <w:b/>
          <w:color w:val="000000"/>
          <w:sz w:val="21"/>
          <w:szCs w:val="21"/>
        </w:rPr>
        <w:t>Россия и страны Прибалтики</w:t>
      </w:r>
    </w:p>
    <w:p w:rsidR="00525023" w:rsidRDefault="00C87325"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Самое пристальное внимание привлекает </w:t>
      </w:r>
      <w:r w:rsidR="00525023">
        <w:rPr>
          <w:rFonts w:ascii="Arial" w:hAnsi="Arial" w:cs="Arial"/>
          <w:color w:val="000000"/>
          <w:sz w:val="21"/>
          <w:szCs w:val="21"/>
        </w:rPr>
        <w:t>Прибалтийский регион, особенно в вопросе об участии в НАТО Литвы, Латвии и Эстонии. Для России это не академический спор, если учесть, что она кровно заинтересована в выходах на Балтику. Балтийский регион имеет исключительно важное значение для всех европейских государств. Их связывают с Прибалтикой коммуникации, торгово-экономические отношения, исторические корни. Особенно это касается скандинавских стран (Финляндия, Швеция, Дания, Норвегия). При соблюдении определенных условий этот регион может в конце XX — начале XXI вв. стать одним из генераторов мира и сотрудничества для всей Европы. Геополитические интересы России здесь объективно совпадают с интересами большинства стран Европы. А главное — Россия должна иметь надежный спокойный морской путь в европейские страны.</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Таким образом, Россия объективно заинтересована в геополитической стабильности не только Калининградского анклава, но и стран Прибалтики. Она твердо настроена развивать добрые отношения с Литвой, Латвией и Эстонией, чтобы они не имели оснований для беспокойства по поводу их включения в буферную зону, в “санитарный кордон” между Востоком и Западом. Это станет важным фактором создания обстановки для спокойной и созидательной жизни многочисленного русского, украинского и белорусского населения в странах Прибалтики.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Пока же в столицах этих государств преобладает мнение, что спокойствие стран Прибалтики может гарантировать только пребывание в НАТО. В обоснование этого выбора обычно приводятся такие аргументы: необходимость оградить свою независимость и суверенитет от потенциальной угрозы с Востока, открыть простор для интеграции стран Прибалтики в западную экономику, цивилизацию, гарантировать их социальное развитие.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Все эти аргументы в основном надуманны и активно раздуваются заинтересованными политиками, СМИ. Российских войск в Прибалтике нет, в конце </w:t>
      </w:r>
      <w:smartTag w:uri="urn:schemas-microsoft-com:office:smarttags" w:element="metricconverter">
        <w:smartTagPr>
          <w:attr w:name="ProductID" w:val="1998 г"/>
        </w:smartTagPr>
        <w:r>
          <w:rPr>
            <w:rFonts w:ascii="Arial" w:hAnsi="Arial" w:cs="Arial"/>
            <w:color w:val="000000"/>
            <w:sz w:val="21"/>
            <w:szCs w:val="21"/>
          </w:rPr>
          <w:t>1998 г</w:t>
        </w:r>
      </w:smartTag>
      <w:r>
        <w:rPr>
          <w:rFonts w:ascii="Arial" w:hAnsi="Arial" w:cs="Arial"/>
          <w:color w:val="000000"/>
          <w:sz w:val="21"/>
          <w:szCs w:val="21"/>
        </w:rPr>
        <w:t>. прекратил свое существование последний военный объект в Латвии — база слежения в Скрунде. Реформирование, а точнее возрождение экономики России, является императивом, диктующим продолжение ее курса на углубление мирных отношений со всеми соседями. Поэтому цели, сформулированные политиками стран Прибалтики, — слияние с западной цивилизацией, экономикой, утверждение принципов демократии, прав человека, экономическое процветание — могут быть достигнуты и без участия в альянсе НАТО, без многомиллиардных сумм, которые придется заплатить за вхождение в эту военно-политическую группировку.</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Следующая сторона проблемы отношений России и прибалтийских государств состоит в том, что в последних существует внутригосударственный сепаратизм, воинствующий национализм, неконтролируемая миграция, сложные экологические и другие проблемы, решать которые нужно с определенным государством, а не альянсу в целом. Да и в Европе есть государства — не члены НАТО, которые не боятся за свою национальную безопасность. Их нейтралитет (Швеции, Финляндии, Швейцарии и др.) предполагает приоритет национальных интересов, а не подчинение их геополитической сверхдержаве, определяющей геостратегический курс альянса. Постоянный нейтралитет, например, обеспечил многовековую стабильность Швейцарии и Швеции, гарантировал их от втягивания в различные конфликты вопреки воле народа этих стран. Кроме того, подобный статус позволяет этим государствам заметно влиять на политическое решение многих сложных вопросов. Именно этими делами остался в памяти народов мира бывший премьер-министр Швеции Улоф Пальме.</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Понимая многостороннюю важность нейтралитета, Россия выступает за то, чтобы Прибалтийские страны, весь Балтийский регион был внеблоковым, нейтральным регионом и был превращен в зону устойчивого развития, безопасности и стабильности. Россия готова гарантировать безопасность этим странам в виде одностороннего обязательства, подкрепленного в международно-правовом плане посредством заключения многостороннего соглашения о добрососедстве и взаимном обеспечении безопасности. К этим гарантиям могут присоединиться другие страны: США, Германия, Великобритания, Франция и международные организации, включая военные. Параллельно могут быть разработаны меры доверия в военной, экономической и социальной сферах, которые смогут подкрепить политические гарантии.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В военно-политических отношениях можно ввести режим доверия в приграничной полосе, безвизовые поездки жителей, отказ от военной деятельности, налаживание совместного контроля за воздушным пространством всего прибалтийского региона, запрет на проведение военно-морских учений в нежелательных регионах Балтики. В экономической сфере в XXI в. можно создать единый топливно-сырьевой и энергетический комплекс, единую информационную структуру: дороги, порты, систему энерго- тепло- и водоснабжения. </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Политические лидеры прибалтийских стран, безусловно, понимают важность и выгодность добрососедских отношений с Россией. Но они испытывают давление со стороны сильных соседей и в большей степени со стороны мощной геополитической сверхдержавы, стремящейся к монопольному миру.</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Германия в настоящее время играет заметную роль... в экономике стран Балтии. Для Латвии, например, она является вторым по объему оборота торговым партнером (около 13% экспорта и 15% импорта), занимает третье место по объемам иностранных инвестиций в республику'8.</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Литве Германия является основным иностранным инвестором. США оказывают балтийским странам помощь в рамках проекта “Поддержка восточноевропейской демократии”. Это передача технического опыта на краткосрочной и долгосрочной основе, капиталовложения и поддержка кредитных возможностей частных предприятий.</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После подписания странами Балтии рамочного документа программы НАТО “Партнерство ради мира” активизировалось американо-балтийское сотрудничество и в военной области.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Тем не менее</w:t>
      </w:r>
      <w:r w:rsidR="00C87325">
        <w:rPr>
          <w:rFonts w:ascii="Arial" w:hAnsi="Arial" w:cs="Arial"/>
          <w:color w:val="000000"/>
          <w:sz w:val="21"/>
          <w:szCs w:val="21"/>
        </w:rPr>
        <w:t>,</w:t>
      </w:r>
      <w:r>
        <w:rPr>
          <w:rFonts w:ascii="Arial" w:hAnsi="Arial" w:cs="Arial"/>
          <w:color w:val="000000"/>
          <w:sz w:val="21"/>
          <w:szCs w:val="21"/>
        </w:rPr>
        <w:t xml:space="preserve"> сравнительно недавние договоренности с Литвой о государственной границе и разграничении континентального шельфа показали, что экополитические, военные, геополитические интересы России и стран Прибалтики диктуют им генеральную линию взаимоотношений: добрососедскую, взаимоуважительную, учитывающую интересы всех стран.</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Большое значение в Прибалтийском регионе в конце XX в. стал играть многосторонний форум — Совет государств Балтийского моря. В мае </w:t>
      </w:r>
      <w:smartTag w:uri="urn:schemas-microsoft-com:office:smarttags" w:element="metricconverter">
        <w:smartTagPr>
          <w:attr w:name="ProductID" w:val="1996 г"/>
        </w:smartTagPr>
        <w:r>
          <w:rPr>
            <w:rFonts w:ascii="Arial" w:hAnsi="Arial" w:cs="Arial"/>
            <w:color w:val="000000"/>
            <w:sz w:val="21"/>
            <w:szCs w:val="21"/>
          </w:rPr>
          <w:t>1996 г</w:t>
        </w:r>
      </w:smartTag>
      <w:r>
        <w:rPr>
          <w:rFonts w:ascii="Arial" w:hAnsi="Arial" w:cs="Arial"/>
          <w:color w:val="000000"/>
          <w:sz w:val="21"/>
          <w:szCs w:val="21"/>
        </w:rPr>
        <w:t>. на о. Готланд состоялась встреча глав Совета под девизом: “Партнерство во имя культуры”. В ней приняли участие 11 премьер-министров стран-участниц. Сотрудничество Москвы со столицами Балтийского региона может стать очередным шагом в процессе сближения с ЕС. Политические лидеры Дании, Финляндии и Швеции взяли на себя роль “старшего брата” в отношении стран Прибалтики, поэтому любые шаги Москвы в этом регионе воспринимаются политиками стран Балтийского региона (особенно датчанами) с большой настороженностью. В оценке действий России и стран Прибалтики у их скандинавских покровителей чаще всего проявляются двойные стандарты. Особенно это видно при их оценках гражданских прав русских и русскоязычных в Латвии, Эстонии и Литве, а также неурегулированности территориальных вопросов с Эстонией и Латвией, сложностей транспортировки российских грузов через Литву в Калининградскую область и заявлений балтийских политиков о статусе последней.</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интересах как стран Запада, так и России активно использовать инфраструктуру и транспорт прибалтийских государств для создания прочных добрососедских и взаимовыгодных связей. Односторонняя ориентация Литвы, Латвии и Эстонии на скандинавские страны, в частности, и на Запад вообще, может оказаться в недалекой перспективе дестабилизирующим фактором. Полномасштабное членство соседей-прибалтов в НАТО в обозримом будущем остается неприемлемым для России. И присоединение к НАТО де-факто может привести к былому расколу Европы, усилению конфронтации в мире. В силу динамических изменений в геополитическом балансе сил Прибалтика может превратиться в передовой военный плацдарм для силового давления на Россию.</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 xml:space="preserve">О подобных перспективах говорят многие политические шаги нынешних лидеров прибалтийских государств. Так, в литовском парламенте был рассмотрен вопрос о пересмотре конституции. Законодатели решили, что конституция не должна запрещать размещение иностранных войск и ядерного оружия на территории Литвы. Латвийский сейм в августе </w:t>
      </w:r>
      <w:smartTag w:uri="urn:schemas-microsoft-com:office:smarttags" w:element="metricconverter">
        <w:smartTagPr>
          <w:attr w:name="ProductID" w:val="1996 г"/>
        </w:smartTagPr>
        <w:r>
          <w:rPr>
            <w:rFonts w:ascii="Arial" w:hAnsi="Arial" w:cs="Arial"/>
            <w:color w:val="000000"/>
            <w:sz w:val="21"/>
            <w:szCs w:val="21"/>
          </w:rPr>
          <w:t>1996 г</w:t>
        </w:r>
      </w:smartTag>
      <w:r>
        <w:rPr>
          <w:rFonts w:ascii="Arial" w:hAnsi="Arial" w:cs="Arial"/>
          <w:color w:val="000000"/>
          <w:sz w:val="21"/>
          <w:szCs w:val="21"/>
        </w:rPr>
        <w:t xml:space="preserve">. принял декларацию “Об оккупации”. Балтийский Совет 13 ноября </w:t>
      </w:r>
      <w:smartTag w:uri="urn:schemas-microsoft-com:office:smarttags" w:element="metricconverter">
        <w:smartTagPr>
          <w:attr w:name="ProductID" w:val="1994 г"/>
        </w:smartTagPr>
        <w:r>
          <w:rPr>
            <w:rFonts w:ascii="Arial" w:hAnsi="Arial" w:cs="Arial"/>
            <w:color w:val="000000"/>
            <w:sz w:val="21"/>
            <w:szCs w:val="21"/>
          </w:rPr>
          <w:t>1994 г</w:t>
        </w:r>
      </w:smartTag>
      <w:r>
        <w:rPr>
          <w:rFonts w:ascii="Arial" w:hAnsi="Arial" w:cs="Arial"/>
          <w:color w:val="000000"/>
          <w:sz w:val="21"/>
          <w:szCs w:val="21"/>
        </w:rPr>
        <w:t>. принял резолюцию “О демилитаризации и статусе” Калининградской области. Во всех Прибалтийских республиках идет процесс активного вытеснения русских и русскоязычных из важнейших сфер политической и социальной жизни и просто грубое выселение этнических русских “на их историческую родину”, т. е. политики Литвы, Латвии и Эстонии готовят почву, общественное мнение для реализации договоренностей по расширению инфраструктуры НАТО, а в перспективе — ввода иностранных войск и ядерного оружия.</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Поэтому даже отзыв территориальных претензий к России и Белоруссии со стороны стран-соседей, урегулирование пограничных проблем и подписание договоров о границе, смягчение пресса по отношению к русскоязычным гражданам и нацменьшинствам не устраняют противоречий сторон. Из “патронирующих” Прибалтику государств наиболее сбалансированную позицию занимает правительство Швеции. Оно неизменно напоминает латышам и эстонцам о положении русских, проживающих в этих странах. В основном же почти все малые страны северной Европы против решений, которые дестабилизировали бы, а тем более взорвали спокойную жизнь населения этого региона, против таких решений, которые втянули бы страны Балтии в геополитические игры великих держав.</w:t>
      </w:r>
    </w:p>
    <w:p w:rsidR="00525023" w:rsidRPr="00C87325" w:rsidRDefault="00525023" w:rsidP="00525023">
      <w:pPr>
        <w:pStyle w:val="a3"/>
        <w:spacing w:before="225" w:beforeAutospacing="0" w:after="225" w:afterAutospacing="0"/>
        <w:ind w:left="225" w:right="225"/>
        <w:rPr>
          <w:rFonts w:ascii="Arial" w:hAnsi="Arial" w:cs="Arial"/>
          <w:b/>
          <w:color w:val="000000"/>
          <w:sz w:val="21"/>
          <w:szCs w:val="21"/>
        </w:rPr>
      </w:pPr>
      <w:r w:rsidRPr="00C87325">
        <w:rPr>
          <w:rFonts w:ascii="Arial" w:hAnsi="Arial" w:cs="Arial"/>
          <w:b/>
          <w:color w:val="000000"/>
          <w:sz w:val="21"/>
          <w:szCs w:val="21"/>
        </w:rPr>
        <w:t>Судьба Калининградской области</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Калининградская область — одна из наиболее неблагоприятных в стране. Это объясняется в основном резкой сменой геополитических сил на Балтике в результате разрушения Советского Союза, непоследовательной и в большей степени ошибочной государственной экономической политикой в отношении области, резким возрастанием иностранного влияния (в частности, германского) в анклаве. Именно анклавным или полуанклавным географическим положением области обусловлена ее государственно-политическая и экономическая слабость. Нынешняя Россия не имеет военно-стратегического преимущества на Балтийском море, потеряла былые основные морские порты, транспортную инфраструктуру на территории Прибалтики, приобрела конфликтно настроенных соседей, стремящихся в НАТО и ЕС.</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Развал армии и соединений флота, вызванный хроническими невыплатами денежного довольствия, а отсюда — сокращения и слияния армейских и флотских частей и соединений привели, по данным экспертов, к почти полной ликвидации некогда сильного “военного кулака”. Военные и их семьи составляют около 40% всего населения анклава и хроническое недофинансирование армии и флота привело к резкому ухудшению социально-экономического положения жителей области, так как ее экономика была ориентирована на военно-промышленный комплекс, сегодня почти полностью разорившийся. В структуре хозяйства преобла</w:t>
      </w:r>
      <w:r w:rsidR="00C87325">
        <w:rPr>
          <w:rFonts w:ascii="Arial" w:hAnsi="Arial" w:cs="Arial"/>
          <w:color w:val="000000"/>
          <w:sz w:val="21"/>
          <w:szCs w:val="21"/>
        </w:rPr>
        <w:t xml:space="preserve">дают предприятия с </w:t>
      </w:r>
      <w:r>
        <w:rPr>
          <w:rFonts w:ascii="Arial" w:hAnsi="Arial" w:cs="Arial"/>
          <w:color w:val="000000"/>
          <w:sz w:val="21"/>
          <w:szCs w:val="21"/>
        </w:rPr>
        <w:t>энергоемкими технологиями. В области для них нет соответствующей сырьевой базы, слаба инфраструктура, выпускаемая продукция на прибалтийских и западных рынках неконкурентоспособна.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Социально-экономическое положение населения области зависит от экспортно-импортных операций: импорт составляет 90% всех потребляемых товаров, экспорт — 70% всех производимых товаров. В силу относительно невысокого качества производимой продукции, высоких тарифов, взимаемых сопредельными государствами за транспортировку грузов по их территории, товары, сделанные в области, не пользуются спросом в странах Прибалтики, Польше, Германии, Швеции и т.д.</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Ослабление связей “федеральный центр — регион” в случае с Калининградской областью принимает особо опасный характер и потенциально может привести к полному вытеснению России из области. Сейчас это вытеснение идет пока только в сфере экономики, в перспективе — в сфере политической, так как правовая сфера нестабильна, правовые решения разных ветвей власти центра относительно области противоречивы. В силу отмеченных и других причин в регионе растут сепаратистские настроения, подогреваемые как западными инвесторами, так и неумелыми российскими политиками, предлагающими создать в анклаве Балтийскую республику, продать область Германии за долги, организовать совместную военную деятельность в регионе, образовать немецкую автономию в Калининграде или взять области на себя часть функций Центра, в частности, проведение самостоятельной внешней политики, вступление области в ЕС, размещение за плату войск НАТО на территории области в пустующих гарнизонах, оставшихся от Советской Армии20. Подобные предложения способствуют “ползучей” экспансии враждебно настроенных по отношению к России иностранных государств (Польши, Литвы, Германии, США).</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конце XX в. в области резко усилилась деятельность иностранных разведок, активизировался промышленный шпионаж. Вся эта активность объясняется тем, что Калининград — это наш геополитический форпост на Западе. Здесь происходит столкновение геополитических сил России и Германии, России и атлантистов.</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Калининград — опорный пункт, который позволяет контролировать Польшу и Прибалтику, Белоруссию и Западную часть России. Об этом говорят и пишут лидеры Германского общества внешней политики, Восточной комиссии немецкой экономики, Германской академии менеджмента, издательской группы “Хандельсблатт”, руководители крупнейшего в республике “Дойче банка”, “Дрезднер банка”, “Объединенного западного немецкого банка” и др.</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сложной геополитической игре вокруг Калининградской области виден интерес США и атлантистов, включая различные международные фонды. Их сверхзадача, конечная цель — помешать созданию мощной Европы, объединенной вокруг Германии. Для этого США в качестве противовеса объединенной Германии включают в геополитическую колоду Польшу, где очень сильны антинемецкие настроения, Литву и Швецию. Польша все активнее наращивает свой экономический вес в анклаве. (Этому способствовала политика центра и местных властей, направленная на ослабление зависимости области от Литвы, которая занимает жесткую позицию в таможенно-тарифной политике и начинает выдвигать территориальные претензии). Если конечной целью “восточной политики” Германии является возвращение Восточной Пруссии и создание Данцингского коридора, то атлантисты видят будущее анклава как проамериканской суверенной Балтийской республики — ключ к контролю над всем Балтийским регионом.</w:t>
      </w:r>
    </w:p>
    <w:p w:rsidR="00525023" w:rsidRDefault="00525023" w:rsidP="00525023">
      <w:pPr>
        <w:pStyle w:val="a3"/>
        <w:spacing w:before="225" w:beforeAutospacing="0" w:after="225" w:afterAutospacing="0"/>
        <w:ind w:left="225" w:right="225"/>
        <w:rPr>
          <w:rFonts w:ascii="Arial" w:hAnsi="Arial" w:cs="Arial"/>
          <w:color w:val="000000"/>
          <w:sz w:val="21"/>
          <w:szCs w:val="21"/>
        </w:rPr>
      </w:pPr>
      <w:r>
        <w:rPr>
          <w:rFonts w:ascii="Arial" w:hAnsi="Arial" w:cs="Arial"/>
          <w:color w:val="000000"/>
          <w:sz w:val="21"/>
          <w:szCs w:val="21"/>
        </w:rPr>
        <w:t>В российских стратегических интересах (при нынешней беспомощности центра), если придется выбирать из двух зол, целесообразнее, на наш взгляд, продать Германии область, пойти на сближение с ФРГ. Это поможет при разумной внешней политике вытеснить атлантистов из Прибалтики, нейтрализовать антироссийски настроенную Польшу, включить в игру Францию и нанести геополитическое поражение США в европейском раскладе сил. Удержать же Калининградскую область Россия сможет только в случае решения своих экономических проблем. Это первое важнейшее условие. Второе — реальный прочный союз трех славянских государств (пока же Украина объективно помогает нашим политическим противникам). Третье — это решительная смена российских геополитических установок. Четвертое — умение и желание Центра и местных властей противостоять сепаратистским тенденциям, растущим в области, и положительным образом повлиять на экономическую ситуацию в анклаве, развивая те производства, которые в меньшей степени зависят от иностранных капиталовложении и партнеров.</w:t>
      </w:r>
    </w:p>
    <w:p w:rsidR="00525023" w:rsidRDefault="00525023">
      <w:bookmarkStart w:id="0" w:name="_GoBack"/>
      <w:bookmarkEnd w:id="0"/>
    </w:p>
    <w:sectPr w:rsidR="005250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25023"/>
    <w:rsid w:val="000829B4"/>
    <w:rsid w:val="001F3950"/>
    <w:rsid w:val="002C0553"/>
    <w:rsid w:val="00525023"/>
    <w:rsid w:val="006175E1"/>
    <w:rsid w:val="00786BF2"/>
    <w:rsid w:val="00881429"/>
    <w:rsid w:val="00967441"/>
    <w:rsid w:val="009D2646"/>
    <w:rsid w:val="00C873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7580B2D-CA86-4100-8DF5-6F73A456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5023"/>
    <w:pPr>
      <w:spacing w:before="100" w:beforeAutospacing="1" w:after="100" w:afterAutospacing="1"/>
    </w:pPr>
  </w:style>
  <w:style w:type="character" w:styleId="a4">
    <w:name w:val="Emphasis"/>
    <w:basedOn w:val="a0"/>
    <w:qFormat/>
    <w:rsid w:val="00525023"/>
    <w:rPr>
      <w:i/>
      <w:iCs/>
    </w:rPr>
  </w:style>
  <w:style w:type="paragraph" w:customStyle="1" w:styleId="1">
    <w:name w:val="Загл1"/>
    <w:basedOn w:val="a"/>
    <w:rsid w:val="001F3950"/>
    <w:pPr>
      <w:overflowPunct w:val="0"/>
      <w:autoSpaceDE w:val="0"/>
      <w:autoSpaceDN w:val="0"/>
      <w:adjustRightInd w:val="0"/>
      <w:jc w:val="center"/>
      <w:textAlignment w:val="baseline"/>
    </w:pPr>
    <w:rPr>
      <w:rFonts w:eastAsia="Calibri"/>
      <w:sz w:val="26"/>
      <w:szCs w:val="20"/>
    </w:rPr>
  </w:style>
  <w:style w:type="character" w:customStyle="1" w:styleId="apple-style-span">
    <w:name w:val="apple-style-span"/>
    <w:basedOn w:val="a0"/>
    <w:rsid w:val="001F39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484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5805</Words>
  <Characters>33094</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Геополитическая карта Европы как минимум состоит из трех крупных образований (ареалов) Первое из них — континентальный Запад, ядром которого можно назвать прежде всего Францию, Испанию, Португалию</vt:lpstr>
    </vt:vector>
  </TitlesOfParts>
  <Company/>
  <LinksUpToDate>false</LinksUpToDate>
  <CharactersWithSpaces>38822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Геополитическая карта Европы как минимум состоит из трех крупных образований (ареалов) Первое из них — континентальный Запад, ядром которого можно назвать прежде всего Францию, Испанию, Португалию</dc:title>
  <dc:subject/>
  <dc:creator>Руслан</dc:creator>
  <cp:keywords/>
  <dc:description/>
  <cp:lastModifiedBy>Irina</cp:lastModifiedBy>
  <cp:revision>2</cp:revision>
  <dcterms:created xsi:type="dcterms:W3CDTF">2014-07-27T18:09:00Z</dcterms:created>
  <dcterms:modified xsi:type="dcterms:W3CDTF">2014-07-27T18:09:00Z</dcterms:modified>
</cp:coreProperties>
</file>