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E29" w:rsidRDefault="00760221">
      <w:pPr>
        <w:spacing w:after="200" w:line="276" w:lineRule="auto"/>
        <w:rPr>
          <w:b/>
        </w:rPr>
      </w:pPr>
      <w:r>
        <w:rPr>
          <w:b/>
        </w:rPr>
        <w:t>УДК 336.02:338.2</w:t>
      </w:r>
    </w:p>
    <w:p w:rsidR="00076E29" w:rsidRDefault="00760221">
      <w:pPr>
        <w:pStyle w:val="a7"/>
        <w:rPr>
          <w:b/>
          <w:caps/>
        </w:rPr>
      </w:pPr>
      <w:bookmarkStart w:id="0" w:name="_Toc192394867"/>
      <w:bookmarkStart w:id="1" w:name="_Toc192394863"/>
      <w:r>
        <w:rPr>
          <w:b/>
          <w:caps/>
        </w:rPr>
        <w:t>Факторы, определяющие макроэкономическую финансовую политику, и их влияние на финансовую политику микроуровня</w:t>
      </w:r>
      <w:bookmarkEnd w:id="0"/>
    </w:p>
    <w:p w:rsidR="00076E29" w:rsidRDefault="00076E29">
      <w:pPr>
        <w:jc w:val="both"/>
      </w:pPr>
    </w:p>
    <w:p w:rsidR="00076E29" w:rsidRDefault="00760221">
      <w:pPr>
        <w:jc w:val="center"/>
        <w:outlineLvl w:val="1"/>
      </w:pPr>
      <w:r>
        <w:rPr>
          <w:b/>
        </w:rPr>
        <w:t>А.А. Макаренко</w:t>
      </w:r>
      <w:bookmarkEnd w:id="1"/>
      <w:r>
        <w:rPr>
          <w:b/>
        </w:rPr>
        <w:t xml:space="preserve">, </w:t>
      </w:r>
      <w:r>
        <w:t xml:space="preserve">кандидат экономических наук, доцент, </w:t>
      </w:r>
    </w:p>
    <w:p w:rsidR="00076E29" w:rsidRDefault="00760221">
      <w:pPr>
        <w:jc w:val="center"/>
        <w:outlineLvl w:val="1"/>
        <w:rPr>
          <w:b/>
        </w:rPr>
      </w:pPr>
      <w:bookmarkStart w:id="2" w:name="_Toc191969722"/>
      <w:bookmarkStart w:id="3" w:name="_Toc192394865"/>
      <w:r>
        <w:rPr>
          <w:b/>
        </w:rPr>
        <w:t>ФГОУВПО «Российский государственный университет туризма и сервиса»</w:t>
      </w:r>
      <w:bookmarkEnd w:id="2"/>
      <w:bookmarkEnd w:id="3"/>
      <w:r>
        <w:rPr>
          <w:b/>
        </w:rPr>
        <w:t>,</w:t>
      </w:r>
    </w:p>
    <w:p w:rsidR="00076E29" w:rsidRDefault="00760221">
      <w:pPr>
        <w:jc w:val="center"/>
        <w:outlineLvl w:val="1"/>
        <w:rPr>
          <w:b/>
        </w:rPr>
      </w:pPr>
      <w:bookmarkStart w:id="4" w:name="_Toc191969723"/>
      <w:bookmarkStart w:id="5" w:name="_Toc192394866"/>
      <w:r>
        <w:rPr>
          <w:b/>
        </w:rPr>
        <w:t>г. Москва</w:t>
      </w:r>
      <w:bookmarkEnd w:id="4"/>
      <w:bookmarkEnd w:id="5"/>
    </w:p>
    <w:p w:rsidR="00076E29" w:rsidRDefault="00076E29">
      <w:pPr>
        <w:jc w:val="both"/>
      </w:pPr>
    </w:p>
    <w:p w:rsidR="00076E29" w:rsidRDefault="00760221">
      <w:pPr>
        <w:spacing w:line="360" w:lineRule="auto"/>
        <w:ind w:firstLine="720"/>
        <w:jc w:val="both"/>
        <w:rPr>
          <w:i/>
        </w:rPr>
      </w:pPr>
      <w:r>
        <w:rPr>
          <w:i/>
        </w:rPr>
        <w:t xml:space="preserve">Исследуется современная национальная финансовая политика, причем акцент делается на факторах, прямо и косвенно ее определяющих. Факторы, определяющие макроэкономическую финансовую политику и ее результаты, оказывают непосредственное влияние на финансовую политику микроуровня. </w:t>
      </w:r>
    </w:p>
    <w:p w:rsidR="00076E29" w:rsidRDefault="00760221">
      <w:pPr>
        <w:spacing w:line="360" w:lineRule="auto"/>
        <w:ind w:firstLine="708"/>
        <w:jc w:val="both"/>
        <w:rPr>
          <w:i/>
        </w:rPr>
      </w:pPr>
      <w:r>
        <w:rPr>
          <w:b/>
          <w:i/>
        </w:rPr>
        <w:t>Ключевые слова:</w:t>
      </w:r>
      <w:r>
        <w:rPr>
          <w:i/>
        </w:rPr>
        <w:t xml:space="preserve"> финансовая политика, макроэкономические индикаторы, макроэкономическое регулирование, микроэкономическая политика</w:t>
      </w:r>
    </w:p>
    <w:p w:rsidR="00076E29" w:rsidRDefault="00076E29">
      <w:pPr>
        <w:spacing w:line="360" w:lineRule="auto"/>
        <w:ind w:firstLine="720"/>
        <w:jc w:val="both"/>
      </w:pPr>
    </w:p>
    <w:p w:rsidR="00076E29" w:rsidRDefault="00760221">
      <w:pPr>
        <w:spacing w:line="360" w:lineRule="auto"/>
        <w:ind w:firstLine="720"/>
        <w:jc w:val="both"/>
      </w:pPr>
      <w:r>
        <w:t>Основными составляющими макроэкономической финансовой политики являются:</w:t>
      </w:r>
    </w:p>
    <w:p w:rsidR="00076E29" w:rsidRDefault="00760221" w:rsidP="00760221">
      <w:pPr>
        <w:numPr>
          <w:ilvl w:val="0"/>
          <w:numId w:val="2"/>
        </w:numPr>
        <w:tabs>
          <w:tab w:val="clear" w:pos="720"/>
        </w:tabs>
        <w:spacing w:line="360" w:lineRule="auto"/>
        <w:jc w:val="both"/>
      </w:pPr>
      <w:r>
        <w:t>монетарная (денежная) политика,</w:t>
      </w:r>
    </w:p>
    <w:p w:rsidR="00076E29" w:rsidRDefault="00760221" w:rsidP="00760221">
      <w:pPr>
        <w:numPr>
          <w:ilvl w:val="0"/>
          <w:numId w:val="2"/>
        </w:numPr>
        <w:tabs>
          <w:tab w:val="clear" w:pos="720"/>
        </w:tabs>
        <w:spacing w:line="360" w:lineRule="auto"/>
        <w:jc w:val="both"/>
      </w:pPr>
      <w:r>
        <w:t>курсовая (валютная) политика,</w:t>
      </w:r>
    </w:p>
    <w:p w:rsidR="00076E29" w:rsidRDefault="00760221" w:rsidP="00760221">
      <w:pPr>
        <w:numPr>
          <w:ilvl w:val="0"/>
          <w:numId w:val="2"/>
        </w:numPr>
        <w:tabs>
          <w:tab w:val="clear" w:pos="720"/>
        </w:tabs>
        <w:spacing w:line="360" w:lineRule="auto"/>
        <w:jc w:val="both"/>
      </w:pPr>
      <w:r>
        <w:t>бюджетная политика,</w:t>
      </w:r>
    </w:p>
    <w:p w:rsidR="00076E29" w:rsidRDefault="00760221" w:rsidP="00760221">
      <w:pPr>
        <w:numPr>
          <w:ilvl w:val="0"/>
          <w:numId w:val="2"/>
        </w:numPr>
        <w:tabs>
          <w:tab w:val="clear" w:pos="720"/>
        </w:tabs>
        <w:spacing w:line="360" w:lineRule="auto"/>
        <w:jc w:val="both"/>
      </w:pPr>
      <w:r>
        <w:t>резервная политика,</w:t>
      </w:r>
    </w:p>
    <w:p w:rsidR="00076E29" w:rsidRDefault="00760221" w:rsidP="00760221">
      <w:pPr>
        <w:numPr>
          <w:ilvl w:val="0"/>
          <w:numId w:val="2"/>
        </w:numPr>
        <w:tabs>
          <w:tab w:val="clear" w:pos="720"/>
        </w:tabs>
        <w:spacing w:line="360" w:lineRule="auto"/>
        <w:jc w:val="both"/>
      </w:pPr>
      <w:r>
        <w:t>антиинфляционная политика,</w:t>
      </w:r>
    </w:p>
    <w:p w:rsidR="00076E29" w:rsidRDefault="00760221" w:rsidP="00760221">
      <w:pPr>
        <w:numPr>
          <w:ilvl w:val="0"/>
          <w:numId w:val="2"/>
        </w:numPr>
        <w:tabs>
          <w:tab w:val="clear" w:pos="720"/>
        </w:tabs>
        <w:spacing w:line="360" w:lineRule="auto"/>
        <w:jc w:val="both"/>
      </w:pPr>
      <w:r>
        <w:t>кредитная политика,</w:t>
      </w:r>
    </w:p>
    <w:p w:rsidR="00076E29" w:rsidRDefault="00760221" w:rsidP="00760221">
      <w:pPr>
        <w:numPr>
          <w:ilvl w:val="0"/>
          <w:numId w:val="2"/>
        </w:numPr>
        <w:tabs>
          <w:tab w:val="clear" w:pos="720"/>
        </w:tabs>
        <w:spacing w:line="360" w:lineRule="auto"/>
        <w:jc w:val="both"/>
      </w:pPr>
      <w:r>
        <w:t>долговая политика (политика заимствований),</w:t>
      </w:r>
    </w:p>
    <w:p w:rsidR="00076E29" w:rsidRDefault="00760221" w:rsidP="00760221">
      <w:pPr>
        <w:numPr>
          <w:ilvl w:val="0"/>
          <w:numId w:val="2"/>
        </w:numPr>
        <w:tabs>
          <w:tab w:val="clear" w:pos="720"/>
        </w:tabs>
        <w:spacing w:line="360" w:lineRule="auto"/>
        <w:jc w:val="both"/>
      </w:pPr>
      <w:r>
        <w:t>налоговая политика,</w:t>
      </w:r>
    </w:p>
    <w:p w:rsidR="00076E29" w:rsidRDefault="00760221" w:rsidP="00760221">
      <w:pPr>
        <w:numPr>
          <w:ilvl w:val="0"/>
          <w:numId w:val="2"/>
        </w:numPr>
        <w:tabs>
          <w:tab w:val="clear" w:pos="720"/>
        </w:tabs>
        <w:spacing w:line="360" w:lineRule="auto"/>
        <w:jc w:val="both"/>
      </w:pPr>
      <w:r>
        <w:t>тарифная политика (на услуги инфраструктурных монополий).</w:t>
      </w:r>
    </w:p>
    <w:p w:rsidR="00076E29" w:rsidRDefault="00760221">
      <w:pPr>
        <w:spacing w:line="360" w:lineRule="auto"/>
        <w:ind w:firstLine="708"/>
        <w:jc w:val="both"/>
      </w:pPr>
      <w:r>
        <w:t xml:space="preserve">Наряду с этим макроэкономическая финансовая политика во многом обусловлена институциональной, структурной, конкурентной, конъюнктурной политикой. </w:t>
      </w:r>
    </w:p>
    <w:p w:rsidR="00076E29" w:rsidRDefault="00760221">
      <w:pPr>
        <w:spacing w:line="360" w:lineRule="auto"/>
        <w:ind w:firstLine="708"/>
        <w:jc w:val="both"/>
      </w:pPr>
      <w:r>
        <w:t xml:space="preserve">Все факторы, прямо или косвенно определяющие макроэкономическую финансовую политику и ее результаты, оказывают непосредственное влияние на финансовую политику микроуровня. </w:t>
      </w:r>
    </w:p>
    <w:p w:rsidR="00076E29" w:rsidRDefault="00760221">
      <w:pPr>
        <w:pStyle w:val="a8"/>
        <w:ind w:firstLine="708"/>
        <w:jc w:val="both"/>
        <w:rPr>
          <w:b w:val="0"/>
          <w:spacing w:val="0"/>
        </w:rPr>
      </w:pPr>
      <w:r>
        <w:rPr>
          <w:i/>
          <w:spacing w:val="0"/>
        </w:rPr>
        <w:t xml:space="preserve">Монетарная (денежная) политика </w:t>
      </w:r>
      <w:r>
        <w:rPr>
          <w:b w:val="0"/>
          <w:spacing w:val="0"/>
        </w:rPr>
        <w:t>в любой национальной экономике осуществляется центральным банком. Главными индикаторами денежной политики являются объем эмиссии, монетизация, реальный, номинальный и эффективный курс национальной валюты, уровень рисков в банковской системе. В рамках монетарной политики обеспечивается сочетание контроля над исполнением основных параметров денежной программы с активным управлением ликвидностью банковской системы на основе развития инструментов денежно-кредитного регулирования, прежде всего рыночных.</w:t>
      </w:r>
    </w:p>
    <w:p w:rsidR="00076E29" w:rsidRDefault="00760221">
      <w:pPr>
        <w:pStyle w:val="a8"/>
        <w:jc w:val="both"/>
        <w:rPr>
          <w:b w:val="0"/>
          <w:spacing w:val="0"/>
        </w:rPr>
      </w:pPr>
      <w:r>
        <w:rPr>
          <w:b w:val="0"/>
          <w:spacing w:val="0"/>
        </w:rPr>
        <w:t>Монетарная (денежная) политика включает две основные составляющие:</w:t>
      </w:r>
    </w:p>
    <w:p w:rsidR="00076E29" w:rsidRDefault="00760221" w:rsidP="00760221">
      <w:pPr>
        <w:pStyle w:val="a8"/>
        <w:widowControl/>
        <w:numPr>
          <w:ilvl w:val="0"/>
          <w:numId w:val="3"/>
        </w:numPr>
        <w:shd w:val="clear" w:color="auto" w:fill="auto"/>
        <w:autoSpaceDE/>
        <w:autoSpaceDN/>
        <w:adjustRightInd/>
        <w:jc w:val="both"/>
        <w:rPr>
          <w:b w:val="0"/>
          <w:spacing w:val="0"/>
        </w:rPr>
      </w:pPr>
      <w:r>
        <w:rPr>
          <w:b w:val="0"/>
          <w:spacing w:val="0"/>
        </w:rPr>
        <w:t>сдерживание динамики денежной массы – совокупности наличных и безналичных денег, находящихся в обращении. Основным объектом контроля Банка России является денежный агрегат М</w:t>
      </w:r>
      <w:r>
        <w:rPr>
          <w:b w:val="0"/>
          <w:spacing w:val="0"/>
          <w:vertAlign w:val="subscript"/>
        </w:rPr>
        <w:t>2</w:t>
      </w:r>
      <w:r>
        <w:rPr>
          <w:b w:val="0"/>
          <w:spacing w:val="0"/>
        </w:rPr>
        <w:t>, который по российской методологии включает наличные деньги в обращении (М</w:t>
      </w:r>
      <w:r>
        <w:rPr>
          <w:b w:val="0"/>
          <w:spacing w:val="0"/>
          <w:vertAlign w:val="subscript"/>
        </w:rPr>
        <w:t>0</w:t>
      </w:r>
      <w:r>
        <w:rPr>
          <w:b w:val="0"/>
          <w:spacing w:val="0"/>
        </w:rPr>
        <w:t>) и безналичные средства. На 1 января 2008 г. по данным Банка России денежный агрегат М</w:t>
      </w:r>
      <w:r>
        <w:rPr>
          <w:b w:val="0"/>
          <w:spacing w:val="0"/>
          <w:vertAlign w:val="subscript"/>
        </w:rPr>
        <w:t>2</w:t>
      </w:r>
      <w:r>
        <w:rPr>
          <w:b w:val="0"/>
          <w:spacing w:val="0"/>
        </w:rPr>
        <w:t xml:space="preserve"> составил 13 272,1 млрд руб., в т.ч. 3 702,2 млрд руб. – наличные деньги и 9 569,9 млрд. руб. – безналичные средства;</w:t>
      </w:r>
    </w:p>
    <w:p w:rsidR="00076E29" w:rsidRDefault="00760221" w:rsidP="00760221">
      <w:pPr>
        <w:pStyle w:val="a8"/>
        <w:widowControl/>
        <w:numPr>
          <w:ilvl w:val="0"/>
          <w:numId w:val="3"/>
        </w:numPr>
        <w:shd w:val="clear" w:color="auto" w:fill="auto"/>
        <w:autoSpaceDE/>
        <w:autoSpaceDN/>
        <w:adjustRightInd/>
        <w:jc w:val="both"/>
        <w:rPr>
          <w:b w:val="0"/>
          <w:spacing w:val="0"/>
        </w:rPr>
      </w:pPr>
      <w:r>
        <w:rPr>
          <w:b w:val="0"/>
          <w:spacing w:val="0"/>
        </w:rPr>
        <w:t>организация денежного обращения. Основными характеристиками денежного обращения являются скорость обращения денег и коэффициент монетизации. Последний определяется как отношение денежной массы к валовому внутреннему продукту и отражает насыщенность экономики деньгами.</w:t>
      </w:r>
    </w:p>
    <w:p w:rsidR="00076E29" w:rsidRDefault="00760221">
      <w:pPr>
        <w:spacing w:line="360" w:lineRule="auto"/>
        <w:ind w:firstLine="720"/>
        <w:jc w:val="both"/>
      </w:pPr>
      <w:r>
        <w:t xml:space="preserve">Так, негативные моменты в монетарной политике, проблемы с денежной массой и денежным обращением способствуют развитию бартерных операций в политике взаиморасчетов предприятий и организаций. Низкая платежная дисциплина обусловливает минимизацию продаж в рассрочку при расчетах с покупателями (рис. 1).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350"/>
        <w:gridCol w:w="3432"/>
      </w:tblGrid>
      <w:tr w:rsidR="00076E29">
        <w:trPr>
          <w:jc w:val="center"/>
        </w:trPr>
        <w:tc>
          <w:tcPr>
            <w:tcW w:w="3001" w:type="dxa"/>
          </w:tcPr>
          <w:p w:rsidR="00076E29" w:rsidRDefault="00076E29">
            <w:pPr>
              <w:jc w:val="center"/>
              <w:rPr>
                <w:i/>
                <w:sz w:val="22"/>
                <w:szCs w:val="22"/>
              </w:rPr>
            </w:pPr>
          </w:p>
          <w:p w:rsidR="00076E29" w:rsidRDefault="00760221">
            <w:pPr>
              <w:jc w:val="center"/>
              <w:rPr>
                <w:i/>
                <w:sz w:val="22"/>
                <w:szCs w:val="22"/>
              </w:rPr>
            </w:pPr>
            <w:r>
              <w:rPr>
                <w:i/>
                <w:sz w:val="22"/>
                <w:szCs w:val="22"/>
              </w:rPr>
              <w:t>Монетарная политика</w:t>
            </w:r>
          </w:p>
          <w:p w:rsidR="00076E29" w:rsidRDefault="00760221">
            <w:pPr>
              <w:jc w:val="center"/>
              <w:rPr>
                <w:sz w:val="22"/>
                <w:szCs w:val="22"/>
              </w:rPr>
            </w:pPr>
            <w:r>
              <w:rPr>
                <w:sz w:val="22"/>
                <w:szCs w:val="22"/>
              </w:rPr>
              <w:t>(недостаток денежной массы, перебои в денежном обращении)</w:t>
            </w:r>
          </w:p>
        </w:tc>
        <w:tc>
          <w:tcPr>
            <w:tcW w:w="2350" w:type="dxa"/>
          </w:tcPr>
          <w:p w:rsidR="00076E29" w:rsidRDefault="000A3D63">
            <w:pPr>
              <w:jc w:val="both"/>
              <w:rPr>
                <w:sz w:val="22"/>
                <w:szCs w:val="22"/>
              </w:rPr>
            </w:pPr>
            <w:r>
              <w:rPr>
                <w:noProof/>
                <w:sz w:val="22"/>
                <w:szCs w:val="22"/>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133" type="#_x0000_t93" style="position:absolute;left:0;text-align:left;margin-left:13.85pt;margin-top:-.1pt;width:76.9pt;height:63pt;z-index:251658240;mso-position-horizontal-relative:text;mso-position-vertical-relative:text"/>
              </w:pict>
            </w:r>
            <w:r>
              <w:rPr>
                <w:noProof/>
                <w:sz w:val="22"/>
                <w:szCs w:val="22"/>
              </w:rPr>
              <w:pict>
                <v:group id="_x0000_s1131" editas="canvas" style="position:absolute;margin-left:0;margin-top:0;width:99pt;height:63pt;z-index:251657216;mso-position-horizontal-relative:char;mso-position-vertical-relative:line" coordorigin="2278,11321"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2" type="#_x0000_t75" style="position:absolute;left:2278;top:11321;width:7200;height:4320" o:preferrelative="f">
                    <v:fill o:detectmouseclick="t"/>
                    <v:path o:extrusionok="t" o:connecttype="none"/>
                    <o:lock v:ext="edit" text="t"/>
                  </v:shape>
                </v:group>
              </w:pict>
            </w:r>
            <w:r>
              <w:pict>
                <v:shape id="_x0000_i1025" type="#_x0000_t75" style="width:99pt;height:63pt">
                  <v:imagedata croptop="-65520f" cropbottom="65520f"/>
                </v:shape>
              </w:pict>
            </w:r>
          </w:p>
        </w:tc>
        <w:tc>
          <w:tcPr>
            <w:tcW w:w="3432" w:type="dxa"/>
          </w:tcPr>
          <w:p w:rsidR="00076E29" w:rsidRDefault="00760221">
            <w:pPr>
              <w:jc w:val="center"/>
              <w:rPr>
                <w:i/>
                <w:sz w:val="22"/>
                <w:szCs w:val="22"/>
              </w:rPr>
            </w:pPr>
            <w:r>
              <w:rPr>
                <w:i/>
                <w:sz w:val="22"/>
                <w:szCs w:val="22"/>
              </w:rPr>
              <w:t>Политика взаиморасчетов с покупателями и поставщиками</w:t>
            </w:r>
            <w:r>
              <w:rPr>
                <w:sz w:val="22"/>
                <w:szCs w:val="22"/>
              </w:rPr>
              <w:t xml:space="preserve"> (распространение бартерных операций, неприменение рассрочки платежа)</w:t>
            </w:r>
            <w:r>
              <w:rPr>
                <w:i/>
                <w:sz w:val="22"/>
                <w:szCs w:val="22"/>
              </w:rPr>
              <w:t xml:space="preserve"> </w:t>
            </w:r>
          </w:p>
        </w:tc>
      </w:tr>
    </w:tbl>
    <w:p w:rsidR="00076E29" w:rsidRDefault="00076E29">
      <w:pPr>
        <w:spacing w:line="360" w:lineRule="auto"/>
        <w:jc w:val="center"/>
      </w:pPr>
    </w:p>
    <w:p w:rsidR="00076E29" w:rsidRDefault="00760221">
      <w:pPr>
        <w:spacing w:line="360" w:lineRule="auto"/>
        <w:jc w:val="center"/>
      </w:pPr>
      <w:r>
        <w:rPr>
          <w:b/>
        </w:rPr>
        <w:t xml:space="preserve">Рис. 1. </w:t>
      </w:r>
      <w:r>
        <w:t>Влияние монетарной политики на корпоративную финансовую политику</w:t>
      </w:r>
    </w:p>
    <w:p w:rsidR="00076E29" w:rsidRDefault="00076E29">
      <w:pPr>
        <w:spacing w:line="360" w:lineRule="auto"/>
        <w:ind w:firstLine="720"/>
        <w:jc w:val="both"/>
        <w:rPr>
          <w:i/>
        </w:rPr>
      </w:pPr>
    </w:p>
    <w:p w:rsidR="00076E29" w:rsidRDefault="00760221">
      <w:pPr>
        <w:spacing w:line="360" w:lineRule="auto"/>
        <w:ind w:firstLine="720"/>
        <w:jc w:val="both"/>
      </w:pPr>
      <w:r>
        <w:rPr>
          <w:i/>
        </w:rPr>
        <w:t xml:space="preserve">Курсовая политика. </w:t>
      </w:r>
      <w:r>
        <w:t>По оценкам А.Улюкаева, укрепление курса рубля на 1% должно сокращать индекс цен на 0,3%. Однако резкое укрепление курса рубля ведет к удорожанию национальных товаров и услуг и потере их конкурентоспособности. Поэтому политика укрепления курса национальной валюты проводится при одновременном сдерживании.</w:t>
      </w:r>
    </w:p>
    <w:p w:rsidR="00076E29" w:rsidRDefault="00760221">
      <w:pPr>
        <w:spacing w:line="360" w:lineRule="auto"/>
        <w:ind w:firstLine="709"/>
        <w:jc w:val="both"/>
      </w:pPr>
      <w:r>
        <w:t xml:space="preserve"> Курсовая политика основывается на поддержании курса национальной валюты – реального обменного курса рубля относительно доллара США и курса рубля по отношению к корзине валют стран – торговых партнеров. В рамках этой политики с 1 июля 2006 г. намечен переход на полную конвертируемость рубля. Этот переход поддерживается комплексом мер, в числе которых отмена ЦБ РФ с 7 мая 2006 г. обязательной продажи валютной выручки экспортерами.</w:t>
      </w:r>
    </w:p>
    <w:p w:rsidR="00076E29" w:rsidRDefault="00760221">
      <w:pPr>
        <w:spacing w:line="360" w:lineRule="auto"/>
        <w:ind w:firstLine="709"/>
        <w:jc w:val="both"/>
      </w:pPr>
      <w:r>
        <w:t xml:space="preserve">Обязательная продажа экспортной выручки была введена в переходной экономике для пополнения золотовалютных резервов Центробанка. Объем экспортной валютной выручки, подлежащей обязательной продаже, планомерно снижался с августа 2001 г., когда норматив был уменьшен с 75% до 50%. В июле 2003 г. норматив обязательной продажи был снижен до 25%, а в декабре 2004 г. – до 10%. Характерно, что прямой корреляции между приростом золотовалютных резервов и нормативом обязательной продажи экспортной выручки не наблюдается. Так, за период действия 50-процентного норматива золотовалютные резервы ЦБ РФ выросли на 26 млрд долл., за период действия 25-процентного норматива – на 57 млрд долл., за полтора года действия 10-процентного норматива – на 105 млрд долл. [1, с. 12]. </w:t>
      </w:r>
    </w:p>
    <w:p w:rsidR="00076E29" w:rsidRDefault="00760221">
      <w:pPr>
        <w:spacing w:line="360" w:lineRule="auto"/>
        <w:ind w:firstLine="709"/>
        <w:jc w:val="both"/>
      </w:pPr>
      <w:r>
        <w:t xml:space="preserve"> Учитывая существенное падение курса доллара на мировых рынках, во избежание резкого роста курса рубля и обесценения золотовалютных резервов меняется их структура за счет перехода к бивалютной корзине, которой исполняется уже три года. В рамках реализации положений раздела IV "Основных направлений единой государственной денежно-кредитной политики на 2007 год" Банк России с 8 февраля 2007 года установил следующую структуру бивалютной корзины: 0,45 евро и 0,55 долл. США. В корзине доля евро стала расти быстро: через полтора месяца после введения, 15 марта 2005 года, доля евро в «корзине» была увеличена до 20 стоимостных единиц против 80 у доллара; 16 мая соотношение вновь изменилось: до 0,3 евро и 0,7 доллара США; с 1 августа 2005 года в корзине оказалось 0,35 евро и 0,65 долл. Новое изменение соотношения доллара и евро осуществилось 2 декабря все того же 2005 года: 0,4 евро и 0,6 долл. [2].</w:t>
      </w:r>
    </w:p>
    <w:p w:rsidR="00076E29" w:rsidRDefault="00760221">
      <w:pPr>
        <w:spacing w:line="360" w:lineRule="auto"/>
        <w:ind w:firstLine="709"/>
        <w:jc w:val="both"/>
      </w:pPr>
      <w:r>
        <w:t xml:space="preserve">В 2006 году в структуру бивалютной корзины уже не вносилось изменений, Банк России лишь время от времени сдвигал пониже уровень поддержки корзины, позволяя рублю немного укрепиться. </w:t>
      </w:r>
    </w:p>
    <w:p w:rsidR="00076E29" w:rsidRDefault="00760221">
      <w:pPr>
        <w:spacing w:line="360" w:lineRule="auto"/>
        <w:ind w:firstLine="709"/>
        <w:jc w:val="both"/>
      </w:pPr>
      <w:r>
        <w:t xml:space="preserve">Уменьшая стоимость корзины в целом, а не только одной из входящих в нее валют, Банк России добивается пропорционального удешевления всего поступающего в страну импорта. В этих условиях падение доллара компенсируется ростом евро, в результате стоимость корзины снижается, способствуя замедлению роста цен. </w:t>
      </w:r>
    </w:p>
    <w:p w:rsidR="00076E29" w:rsidRDefault="00760221">
      <w:pPr>
        <w:spacing w:line="360" w:lineRule="auto"/>
        <w:ind w:firstLine="709"/>
        <w:jc w:val="both"/>
      </w:pPr>
      <w:r>
        <w:rPr>
          <w:i/>
        </w:rPr>
        <w:t>Резервная политика</w:t>
      </w:r>
      <w:r>
        <w:t xml:space="preserve"> осуществляется центральным банком. Национальная политика резервирования выполняет несколько функций: обеспечение денежной массы во избежание ее обесценения, регулирование курса национальной валюты, изъятие из обращения избыточной валюты или вливание на рынок при ее недостатке. Изначально поддержание национальной валюты обеспечивалось исключительно золотым запасом. По мере глобализации рынка в целом и отдельных валют в частности доля золотого запаса в золотовалютных резервах стала снижаться и составляет к настоящему времени менее 20%.</w:t>
      </w:r>
    </w:p>
    <w:p w:rsidR="00076E29" w:rsidRDefault="00760221">
      <w:pPr>
        <w:spacing w:line="360" w:lineRule="auto"/>
        <w:ind w:firstLine="709"/>
        <w:jc w:val="both"/>
      </w:pPr>
      <w:r>
        <w:t xml:space="preserve">Золотовалютные (международные) резервы представляют собой высоколиквидные финансовые активы, находящиеся в распоряжении Банка России и Правительства РФ. Они складываются из активов в иностранной валюте, монетарного золота, специальных прав заимствования (СДР), резервной позиции в МВФ и других резервных активов. </w:t>
      </w:r>
    </w:p>
    <w:p w:rsidR="00076E29" w:rsidRDefault="00760221">
      <w:pPr>
        <w:spacing w:line="360" w:lineRule="auto"/>
        <w:ind w:firstLine="709"/>
        <w:jc w:val="both"/>
      </w:pPr>
      <w:r>
        <w:t>Объем золотовалютных резервов Банка России на 18 января 2008 г. составил 478,4 млрд долл. По сравнению с предыдущим показателем он увеличился на 700 млн долл., или на 0,15%. [3]</w:t>
      </w:r>
    </w:p>
    <w:p w:rsidR="00076E29" w:rsidRDefault="00760221">
      <w:pPr>
        <w:spacing w:line="360" w:lineRule="auto"/>
        <w:ind w:firstLine="720"/>
        <w:jc w:val="both"/>
      </w:pPr>
      <w:r>
        <w:t xml:space="preserve">Неустойчивость национальной валюты, являющаяся следствием недостатков в </w:t>
      </w:r>
      <w:r>
        <w:rPr>
          <w:i/>
        </w:rPr>
        <w:t xml:space="preserve">курсовой политике и резервной политике </w:t>
      </w:r>
      <w:r>
        <w:t xml:space="preserve">(в части обеспечения национальной валюты), обусловливает активную роль иностранных валют в расчетах и взаиморасчетах, приводит к частому изменению цен и неустойчивости ценовой политики, осложняет формирование финансовой политики в долгосрочных периодах (рис. 2). </w:t>
      </w:r>
    </w:p>
    <w:p w:rsidR="00076E29" w:rsidRDefault="00076E29">
      <w:pPr>
        <w:spacing w:line="360" w:lineRule="auto"/>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350"/>
        <w:gridCol w:w="3432"/>
      </w:tblGrid>
      <w:tr w:rsidR="00076E29">
        <w:trPr>
          <w:jc w:val="center"/>
        </w:trPr>
        <w:tc>
          <w:tcPr>
            <w:tcW w:w="3001" w:type="dxa"/>
          </w:tcPr>
          <w:p w:rsidR="00076E29" w:rsidRDefault="00076E29">
            <w:pPr>
              <w:jc w:val="center"/>
              <w:rPr>
                <w:i/>
                <w:sz w:val="22"/>
                <w:szCs w:val="22"/>
              </w:rPr>
            </w:pPr>
          </w:p>
          <w:p w:rsidR="00076E29" w:rsidRDefault="00076E29">
            <w:pPr>
              <w:jc w:val="center"/>
              <w:rPr>
                <w:i/>
                <w:sz w:val="22"/>
                <w:szCs w:val="22"/>
              </w:rPr>
            </w:pPr>
          </w:p>
          <w:p w:rsidR="00076E29" w:rsidRDefault="00076E29">
            <w:pPr>
              <w:jc w:val="center"/>
              <w:rPr>
                <w:i/>
                <w:sz w:val="22"/>
                <w:szCs w:val="22"/>
              </w:rPr>
            </w:pPr>
          </w:p>
          <w:p w:rsidR="00076E29" w:rsidRDefault="00760221">
            <w:pPr>
              <w:jc w:val="center"/>
              <w:rPr>
                <w:i/>
                <w:sz w:val="22"/>
                <w:szCs w:val="22"/>
              </w:rPr>
            </w:pPr>
            <w:r>
              <w:rPr>
                <w:i/>
                <w:sz w:val="22"/>
                <w:szCs w:val="22"/>
              </w:rPr>
              <w:t>Курсовая политика</w:t>
            </w:r>
          </w:p>
          <w:p w:rsidR="00076E29" w:rsidRDefault="00760221">
            <w:pPr>
              <w:jc w:val="center"/>
              <w:rPr>
                <w:sz w:val="22"/>
                <w:szCs w:val="22"/>
              </w:rPr>
            </w:pPr>
            <w:r>
              <w:rPr>
                <w:sz w:val="22"/>
                <w:szCs w:val="22"/>
              </w:rPr>
              <w:t>(неустойчивость национальной валюты, ее обесценение).</w:t>
            </w:r>
          </w:p>
          <w:p w:rsidR="00076E29" w:rsidRDefault="00760221">
            <w:pPr>
              <w:jc w:val="center"/>
              <w:rPr>
                <w:sz w:val="22"/>
                <w:szCs w:val="22"/>
              </w:rPr>
            </w:pPr>
            <w:r>
              <w:rPr>
                <w:i/>
                <w:sz w:val="22"/>
                <w:szCs w:val="22"/>
              </w:rPr>
              <w:t>Резервная политика</w:t>
            </w:r>
            <w:r>
              <w:rPr>
                <w:sz w:val="22"/>
                <w:szCs w:val="22"/>
              </w:rPr>
              <w:t xml:space="preserve"> (обеспечение национальной валюты)</w:t>
            </w:r>
          </w:p>
        </w:tc>
        <w:tc>
          <w:tcPr>
            <w:tcW w:w="2350" w:type="dxa"/>
          </w:tcPr>
          <w:p w:rsidR="00076E29" w:rsidRDefault="000A3D63">
            <w:pPr>
              <w:jc w:val="both"/>
              <w:rPr>
                <w:sz w:val="22"/>
                <w:szCs w:val="22"/>
              </w:rPr>
            </w:pPr>
            <w:r>
              <w:rPr>
                <w:noProof/>
                <w:sz w:val="22"/>
                <w:szCs w:val="22"/>
              </w:rPr>
              <w:pict>
                <v:shape id="_x0000_s1134" type="#_x0000_t93" style="position:absolute;left:0;text-align:left;margin-left:15.45pt;margin-top:55.3pt;width:76.9pt;height:63pt;z-index:251659264;mso-position-horizontal-relative:text;mso-position-vertical-relative:text"/>
              </w:pict>
            </w:r>
            <w:r>
              <w:rPr>
                <w:noProof/>
                <w:sz w:val="22"/>
                <w:szCs w:val="22"/>
              </w:rPr>
              <w:pict>
                <v:group id="_x0000_s1129" editas="canvas" style="position:absolute;margin-left:0;margin-top:0;width:99pt;height:63pt;z-index:251656192;mso-position-horizontal-relative:char;mso-position-vertical-relative:line" coordorigin="2278,11321" coordsize="7200,4320">
                  <o:lock v:ext="edit" aspectratio="t"/>
                  <v:shape id="_x0000_s1130" type="#_x0000_t75" style="position:absolute;left:2278;top:11321;width:7200;height:4320" o:preferrelative="f">
                    <v:fill o:detectmouseclick="t"/>
                    <v:path o:extrusionok="t" o:connecttype="none"/>
                    <o:lock v:ext="edit" text="t"/>
                  </v:shape>
                </v:group>
              </w:pict>
            </w:r>
            <w:r>
              <w:pict>
                <v:shape id="_x0000_i1026" type="#_x0000_t75" style="width:99pt;height:63pt">
                  <v:imagedata croptop="-65520f" cropbottom="65520f"/>
                </v:shape>
              </w:pict>
            </w:r>
          </w:p>
        </w:tc>
        <w:tc>
          <w:tcPr>
            <w:tcW w:w="3432" w:type="dxa"/>
          </w:tcPr>
          <w:p w:rsidR="00076E29" w:rsidRDefault="00760221">
            <w:pPr>
              <w:jc w:val="center"/>
              <w:rPr>
                <w:sz w:val="22"/>
                <w:szCs w:val="22"/>
              </w:rPr>
            </w:pPr>
            <w:r>
              <w:rPr>
                <w:i/>
                <w:sz w:val="22"/>
                <w:szCs w:val="22"/>
              </w:rPr>
              <w:t>Политика взаиморасчетов с покупателями и поставщиками</w:t>
            </w:r>
            <w:r>
              <w:rPr>
                <w:sz w:val="22"/>
                <w:szCs w:val="22"/>
              </w:rPr>
              <w:t xml:space="preserve"> (распространение взаиморасчетов в иновалюте).</w:t>
            </w:r>
          </w:p>
          <w:p w:rsidR="00076E29" w:rsidRDefault="00760221">
            <w:pPr>
              <w:jc w:val="center"/>
              <w:rPr>
                <w:sz w:val="22"/>
                <w:szCs w:val="22"/>
              </w:rPr>
            </w:pPr>
            <w:r>
              <w:rPr>
                <w:i/>
                <w:sz w:val="22"/>
                <w:szCs w:val="22"/>
              </w:rPr>
              <w:t xml:space="preserve">Ценовая политика </w:t>
            </w:r>
            <w:r>
              <w:rPr>
                <w:sz w:val="22"/>
                <w:szCs w:val="22"/>
              </w:rPr>
              <w:t>(изменчивость цен).</w:t>
            </w:r>
          </w:p>
          <w:p w:rsidR="00076E29" w:rsidRDefault="00760221">
            <w:pPr>
              <w:jc w:val="center"/>
              <w:rPr>
                <w:sz w:val="22"/>
                <w:szCs w:val="22"/>
              </w:rPr>
            </w:pPr>
            <w:r>
              <w:rPr>
                <w:i/>
                <w:sz w:val="22"/>
                <w:szCs w:val="22"/>
              </w:rPr>
              <w:t xml:space="preserve">Временной горизонт финансовой политики </w:t>
            </w:r>
            <w:r>
              <w:rPr>
                <w:sz w:val="22"/>
                <w:szCs w:val="22"/>
              </w:rPr>
              <w:t>(преобладание краткосрочных периодов)</w:t>
            </w:r>
          </w:p>
        </w:tc>
      </w:tr>
    </w:tbl>
    <w:p w:rsidR="00076E29" w:rsidRDefault="00076E29">
      <w:pPr>
        <w:jc w:val="center"/>
      </w:pPr>
    </w:p>
    <w:p w:rsidR="00076E29" w:rsidRDefault="00760221">
      <w:pPr>
        <w:jc w:val="center"/>
      </w:pPr>
      <w:r>
        <w:rPr>
          <w:b/>
        </w:rPr>
        <w:t xml:space="preserve">Рис. 2. </w:t>
      </w:r>
      <w:r>
        <w:t>Влияние курсовой и резервной макроэкономической политики на корпоративную финансовую политику</w:t>
      </w:r>
    </w:p>
    <w:p w:rsidR="00076E29" w:rsidRDefault="00076E29">
      <w:pPr>
        <w:spacing w:line="360" w:lineRule="auto"/>
        <w:ind w:firstLine="720"/>
        <w:jc w:val="both"/>
      </w:pPr>
    </w:p>
    <w:p w:rsidR="00076E29" w:rsidRDefault="00760221">
      <w:pPr>
        <w:spacing w:line="360" w:lineRule="auto"/>
        <w:ind w:firstLine="709"/>
        <w:jc w:val="both"/>
      </w:pPr>
      <w:r>
        <w:rPr>
          <w:i/>
        </w:rPr>
        <w:t xml:space="preserve">Бюджетная политика </w:t>
      </w:r>
      <w:r>
        <w:t xml:space="preserve">выражается в системе мер, проводимых государством по линии бюджетных доходов и расходов, в политике государства в области регулирования размера бюджетного дефицита и источников его финансирования, в принципах построения взаимоотношений между бюджетами различных уровней. </w:t>
      </w:r>
    </w:p>
    <w:p w:rsidR="00076E29" w:rsidRDefault="00760221">
      <w:pPr>
        <w:pStyle w:val="rvps698610"/>
        <w:spacing w:after="0" w:line="360" w:lineRule="auto"/>
        <w:ind w:right="0"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Бюджетная стратегия на среднесрочную перспективу (теперь уже на три года) должна быть ориентирована на содействие социальному и экономическому развитию Российской Федерации при безусловном учете критериев эффективности и результативности бюджетных расходов. </w:t>
      </w:r>
    </w:p>
    <w:p w:rsidR="00076E29" w:rsidRDefault="00760221">
      <w:pPr>
        <w:spacing w:line="360" w:lineRule="auto"/>
        <w:ind w:firstLine="709"/>
        <w:jc w:val="both"/>
      </w:pPr>
      <w:r>
        <w:t xml:space="preserve">Важнейшей составляющей бюджетной политики являются бюджетные или кассовые расходы. Основополагающими принципами в определении бюджетных расходов в настоящее время являются: </w:t>
      </w:r>
    </w:p>
    <w:p w:rsidR="00076E29" w:rsidRDefault="00760221" w:rsidP="00760221">
      <w:pPr>
        <w:numPr>
          <w:ilvl w:val="0"/>
          <w:numId w:val="4"/>
        </w:numPr>
        <w:tabs>
          <w:tab w:val="clear" w:pos="1440"/>
        </w:tabs>
        <w:spacing w:line="360" w:lineRule="auto"/>
        <w:ind w:left="720"/>
        <w:jc w:val="both"/>
      </w:pPr>
      <w:r>
        <w:t>финансирование государственных (муниципальных) обязательств в соответствии с установленным разграничением полномочий между уровнями власти в Российской Федерации;</w:t>
      </w:r>
    </w:p>
    <w:p w:rsidR="00076E29" w:rsidRDefault="00760221" w:rsidP="00760221">
      <w:pPr>
        <w:numPr>
          <w:ilvl w:val="0"/>
          <w:numId w:val="4"/>
        </w:numPr>
        <w:tabs>
          <w:tab w:val="clear" w:pos="1440"/>
        </w:tabs>
        <w:spacing w:line="360" w:lineRule="auto"/>
        <w:ind w:left="720"/>
        <w:jc w:val="both"/>
      </w:pPr>
      <w:r>
        <w:t>обеспечение доступности для всех граждан базовых социальных услуг - образования и здравоохранения;</w:t>
      </w:r>
    </w:p>
    <w:p w:rsidR="00076E29" w:rsidRDefault="00760221" w:rsidP="00760221">
      <w:pPr>
        <w:numPr>
          <w:ilvl w:val="0"/>
          <w:numId w:val="4"/>
        </w:numPr>
        <w:tabs>
          <w:tab w:val="clear" w:pos="1440"/>
        </w:tabs>
        <w:spacing w:line="360" w:lineRule="auto"/>
        <w:ind w:left="720"/>
        <w:jc w:val="both"/>
      </w:pPr>
      <w:r>
        <w:t>использование программно-целевых принципов при планировании бюджета;</w:t>
      </w:r>
    </w:p>
    <w:p w:rsidR="00076E29" w:rsidRDefault="00760221" w:rsidP="00760221">
      <w:pPr>
        <w:numPr>
          <w:ilvl w:val="0"/>
          <w:numId w:val="4"/>
        </w:numPr>
        <w:tabs>
          <w:tab w:val="clear" w:pos="1440"/>
        </w:tabs>
        <w:spacing w:line="360" w:lineRule="auto"/>
        <w:ind w:left="720"/>
        <w:jc w:val="both"/>
      </w:pPr>
      <w:r>
        <w:t>соответствие бюджетных расходов четким критериям эффективности;</w:t>
      </w:r>
    </w:p>
    <w:p w:rsidR="00076E29" w:rsidRDefault="00760221" w:rsidP="00760221">
      <w:pPr>
        <w:numPr>
          <w:ilvl w:val="0"/>
          <w:numId w:val="4"/>
        </w:numPr>
        <w:tabs>
          <w:tab w:val="clear" w:pos="1440"/>
        </w:tabs>
        <w:spacing w:line="360" w:lineRule="auto"/>
        <w:ind w:left="720"/>
        <w:jc w:val="both"/>
      </w:pPr>
      <w:r>
        <w:t>конкурсное распределение бюджетных ресурсов;</w:t>
      </w:r>
    </w:p>
    <w:p w:rsidR="00076E29" w:rsidRDefault="00760221" w:rsidP="00760221">
      <w:pPr>
        <w:numPr>
          <w:ilvl w:val="0"/>
          <w:numId w:val="4"/>
        </w:numPr>
        <w:tabs>
          <w:tab w:val="clear" w:pos="1440"/>
        </w:tabs>
        <w:spacing w:line="360" w:lineRule="auto"/>
        <w:ind w:left="720"/>
        <w:jc w:val="both"/>
      </w:pPr>
      <w:r>
        <w:t>конкурентный режим при размещении государственных заказов на производство товаров и услуг для государственных нужд.</w:t>
      </w:r>
    </w:p>
    <w:p w:rsidR="00076E29" w:rsidRDefault="00760221">
      <w:pPr>
        <w:spacing w:line="360" w:lineRule="auto"/>
        <w:ind w:firstLine="567"/>
        <w:jc w:val="both"/>
      </w:pPr>
      <w:r>
        <w:t>Кассовые расходы и их сдерживание являются одним из основных рычагов антиинфляционной политики. По оценкам Экономической экспертной группы (ЭЭГ), кассовые расходы федерального бюджета за 2007 год составили 5982,2</w:t>
      </w:r>
      <w:r>
        <w:rPr>
          <w:bCs/>
          <w:iCs/>
        </w:rPr>
        <w:t xml:space="preserve"> </w:t>
      </w:r>
      <w:r>
        <w:t>млрд рублей или 18,4% ВВП, что на 2,4 пункта ВВП выше расходов в аналогичном периоде 2006 года.[4]</w:t>
      </w:r>
    </w:p>
    <w:p w:rsidR="00076E29" w:rsidRDefault="00760221">
      <w:pPr>
        <w:spacing w:line="360" w:lineRule="auto"/>
        <w:ind w:firstLine="720"/>
        <w:jc w:val="both"/>
      </w:pPr>
      <w:r>
        <w:t xml:space="preserve">Недостатки в </w:t>
      </w:r>
      <w:r>
        <w:rPr>
          <w:i/>
        </w:rPr>
        <w:t>бюджетной политике</w:t>
      </w:r>
      <w:r>
        <w:t xml:space="preserve"> в части формирования бюджетных доходов обусловливают фискальную нагрузку на экономику, вследствие чего активизируются/уменьшаются теневые операции. Это определяет степень финансовой прозрачности и уровень легализации деятельности предприятия. С другой стороны, политика бюджетных расходов предопределяет инфляцию. При безуспешной </w:t>
      </w:r>
      <w:r>
        <w:rPr>
          <w:i/>
        </w:rPr>
        <w:t>антиинфляционной политике</w:t>
      </w:r>
      <w:r>
        <w:t xml:space="preserve"> и падении курса национальной валюты становится бессмысленной политика накопления, происходит обесценение долгосрочных активов, источников финансирования и, следовательно, капитализированной стоимости, что делает бессмысленной политику капитализации, сдерживает инвестиционную активность и обусловливает особенности инвестиционной политики хозяйствующих субъектов (рис.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350"/>
        <w:gridCol w:w="3432"/>
      </w:tblGrid>
      <w:tr w:rsidR="00076E29">
        <w:trPr>
          <w:jc w:val="center"/>
        </w:trPr>
        <w:tc>
          <w:tcPr>
            <w:tcW w:w="3001" w:type="dxa"/>
          </w:tcPr>
          <w:p w:rsidR="00076E29" w:rsidRDefault="00076E29">
            <w:pPr>
              <w:jc w:val="center"/>
              <w:rPr>
                <w:i/>
                <w:sz w:val="22"/>
                <w:szCs w:val="22"/>
              </w:rPr>
            </w:pPr>
          </w:p>
          <w:p w:rsidR="00076E29" w:rsidRDefault="00076E29">
            <w:pPr>
              <w:jc w:val="center"/>
              <w:rPr>
                <w:i/>
                <w:sz w:val="22"/>
                <w:szCs w:val="22"/>
              </w:rPr>
            </w:pPr>
          </w:p>
          <w:p w:rsidR="00076E29" w:rsidRDefault="00760221">
            <w:pPr>
              <w:jc w:val="center"/>
              <w:rPr>
                <w:i/>
                <w:sz w:val="22"/>
                <w:szCs w:val="22"/>
              </w:rPr>
            </w:pPr>
            <w:r>
              <w:rPr>
                <w:i/>
                <w:sz w:val="22"/>
                <w:szCs w:val="22"/>
              </w:rPr>
              <w:t>Бюджетная политика</w:t>
            </w:r>
          </w:p>
          <w:p w:rsidR="00076E29" w:rsidRDefault="00760221">
            <w:pPr>
              <w:jc w:val="center"/>
              <w:rPr>
                <w:sz w:val="22"/>
                <w:szCs w:val="22"/>
              </w:rPr>
            </w:pPr>
            <w:r>
              <w:rPr>
                <w:sz w:val="22"/>
                <w:szCs w:val="22"/>
              </w:rPr>
              <w:t>(уровень изъятий и бюджетных расходов).</w:t>
            </w:r>
          </w:p>
          <w:p w:rsidR="00076E29" w:rsidRDefault="00760221">
            <w:pPr>
              <w:jc w:val="center"/>
              <w:rPr>
                <w:sz w:val="22"/>
                <w:szCs w:val="22"/>
              </w:rPr>
            </w:pPr>
            <w:r>
              <w:rPr>
                <w:i/>
                <w:sz w:val="22"/>
                <w:szCs w:val="22"/>
              </w:rPr>
              <w:t>Антиинфляционная политика</w:t>
            </w:r>
            <w:r>
              <w:rPr>
                <w:sz w:val="22"/>
                <w:szCs w:val="22"/>
              </w:rPr>
              <w:t xml:space="preserve"> (обесценение национальной валюты)</w:t>
            </w:r>
          </w:p>
        </w:tc>
        <w:tc>
          <w:tcPr>
            <w:tcW w:w="2350" w:type="dxa"/>
          </w:tcPr>
          <w:p w:rsidR="00076E29" w:rsidRDefault="000A3D63">
            <w:pPr>
              <w:jc w:val="both"/>
              <w:rPr>
                <w:sz w:val="22"/>
                <w:szCs w:val="22"/>
              </w:rPr>
            </w:pPr>
            <w:r>
              <w:rPr>
                <w:noProof/>
                <w:sz w:val="22"/>
                <w:szCs w:val="22"/>
              </w:rPr>
              <w:pict>
                <v:shape id="_x0000_s1135" type="#_x0000_t93" style="position:absolute;left:0;text-align:left;margin-left:19.3pt;margin-top:34.85pt;width:76.9pt;height:63pt;z-index:251660288;mso-position-horizontal-relative:text;mso-position-vertical-relative:text"/>
              </w:pict>
            </w:r>
            <w:r>
              <w:rPr>
                <w:noProof/>
                <w:sz w:val="22"/>
                <w:szCs w:val="22"/>
              </w:rPr>
              <w:pict>
                <v:group id="_x0000_s1127" editas="canvas" style="position:absolute;margin-left:0;margin-top:0;width:99pt;height:63pt;z-index:251655168;mso-position-horizontal-relative:char;mso-position-vertical-relative:line" coordorigin="2278,11321" coordsize="7200,4320">
                  <o:lock v:ext="edit" aspectratio="t"/>
                  <v:shape id="_x0000_s1128" type="#_x0000_t75" style="position:absolute;left:2278;top:11321;width:7200;height:4320" o:preferrelative="f">
                    <v:fill o:detectmouseclick="t"/>
                    <v:path o:extrusionok="t" o:connecttype="none"/>
                    <o:lock v:ext="edit" text="t"/>
                  </v:shape>
                </v:group>
              </w:pict>
            </w:r>
            <w:r>
              <w:pict>
                <v:shape id="_x0000_i1027" type="#_x0000_t75" style="width:99pt;height:63pt">
                  <v:imagedata croptop="-65520f" cropbottom="65520f"/>
                </v:shape>
              </w:pict>
            </w:r>
          </w:p>
        </w:tc>
        <w:tc>
          <w:tcPr>
            <w:tcW w:w="3432" w:type="dxa"/>
          </w:tcPr>
          <w:p w:rsidR="00076E29" w:rsidRDefault="00760221">
            <w:pPr>
              <w:jc w:val="center"/>
              <w:rPr>
                <w:i/>
                <w:sz w:val="22"/>
                <w:szCs w:val="22"/>
              </w:rPr>
            </w:pPr>
            <w:r>
              <w:rPr>
                <w:i/>
                <w:sz w:val="22"/>
                <w:szCs w:val="22"/>
              </w:rPr>
              <w:t xml:space="preserve">Финансовая прозрачность </w:t>
            </w:r>
            <w:r>
              <w:rPr>
                <w:sz w:val="22"/>
                <w:szCs w:val="22"/>
              </w:rPr>
              <w:t>(мера легализации деятельности)</w:t>
            </w:r>
            <w:r>
              <w:rPr>
                <w:i/>
                <w:sz w:val="22"/>
                <w:szCs w:val="22"/>
              </w:rPr>
              <w:t>.</w:t>
            </w:r>
          </w:p>
          <w:p w:rsidR="00076E29" w:rsidRDefault="00760221">
            <w:pPr>
              <w:jc w:val="center"/>
              <w:rPr>
                <w:i/>
                <w:sz w:val="22"/>
                <w:szCs w:val="22"/>
              </w:rPr>
            </w:pPr>
            <w:r>
              <w:rPr>
                <w:i/>
                <w:sz w:val="22"/>
                <w:szCs w:val="22"/>
              </w:rPr>
              <w:t>Политика капитализации</w:t>
            </w:r>
          </w:p>
          <w:p w:rsidR="00076E29" w:rsidRDefault="00760221">
            <w:pPr>
              <w:jc w:val="center"/>
              <w:rPr>
                <w:sz w:val="22"/>
                <w:szCs w:val="22"/>
              </w:rPr>
            </w:pPr>
            <w:r>
              <w:rPr>
                <w:sz w:val="22"/>
                <w:szCs w:val="22"/>
              </w:rPr>
              <w:t>(обесценение капитализированной стоимости).</w:t>
            </w:r>
          </w:p>
          <w:p w:rsidR="00076E29" w:rsidRDefault="00760221">
            <w:pPr>
              <w:jc w:val="center"/>
              <w:rPr>
                <w:i/>
                <w:sz w:val="22"/>
                <w:szCs w:val="22"/>
              </w:rPr>
            </w:pPr>
            <w:r>
              <w:rPr>
                <w:i/>
                <w:sz w:val="22"/>
                <w:szCs w:val="22"/>
              </w:rPr>
              <w:t xml:space="preserve">Инвестиционная политика </w:t>
            </w:r>
            <w:r>
              <w:rPr>
                <w:sz w:val="22"/>
                <w:szCs w:val="22"/>
              </w:rPr>
              <w:t>(минимизация в силу краткосрочных временных горизонтов)</w:t>
            </w:r>
          </w:p>
        </w:tc>
      </w:tr>
    </w:tbl>
    <w:p w:rsidR="00076E29" w:rsidRDefault="00076E29">
      <w:pPr>
        <w:jc w:val="center"/>
      </w:pPr>
    </w:p>
    <w:p w:rsidR="00076E29" w:rsidRDefault="00760221">
      <w:pPr>
        <w:jc w:val="center"/>
      </w:pPr>
      <w:r>
        <w:rPr>
          <w:b/>
        </w:rPr>
        <w:t xml:space="preserve">Рис. 3. </w:t>
      </w:r>
      <w:r>
        <w:t>Влияние бюджетной и антиинфляционной политики на корпоративную финансовую политику</w:t>
      </w:r>
    </w:p>
    <w:p w:rsidR="00076E29" w:rsidRDefault="00076E29">
      <w:pPr>
        <w:jc w:val="center"/>
      </w:pPr>
    </w:p>
    <w:p w:rsidR="00076E29" w:rsidRDefault="00760221">
      <w:pPr>
        <w:pStyle w:val="afa"/>
        <w:spacing w:before="0" w:beforeAutospacing="0" w:after="0" w:afterAutospacing="0" w:line="360" w:lineRule="auto"/>
        <w:ind w:firstLine="720"/>
        <w:jc w:val="both"/>
      </w:pPr>
      <w:r>
        <w:rPr>
          <w:i/>
        </w:rPr>
        <w:t>Кредитная политика</w:t>
      </w:r>
      <w:r>
        <w:t>. Основная задача кредитной политики — обеспечение потребности экономики в кредитных ресурсах и регулирование их массы. Основными составляющими кредитной политики являются:</w:t>
      </w:r>
    </w:p>
    <w:p w:rsidR="00076E29" w:rsidRDefault="00760221" w:rsidP="00760221">
      <w:pPr>
        <w:pStyle w:val="afa"/>
        <w:numPr>
          <w:ilvl w:val="0"/>
          <w:numId w:val="5"/>
        </w:numPr>
        <w:tabs>
          <w:tab w:val="clear" w:pos="360"/>
        </w:tabs>
        <w:spacing w:before="0" w:beforeAutospacing="0" w:after="0" w:afterAutospacing="0" w:line="360" w:lineRule="auto"/>
        <w:ind w:left="720"/>
        <w:jc w:val="both"/>
      </w:pPr>
      <w:r>
        <w:t xml:space="preserve">политика процентной ставки (сокращение амплитуды колебания процентных ставок, снижение рисков, улучшение ожиданий и расширение круга операций и участников рынка); </w:t>
      </w:r>
    </w:p>
    <w:p w:rsidR="00076E29" w:rsidRDefault="00760221" w:rsidP="00760221">
      <w:pPr>
        <w:pStyle w:val="afa"/>
        <w:numPr>
          <w:ilvl w:val="0"/>
          <w:numId w:val="5"/>
        </w:numPr>
        <w:tabs>
          <w:tab w:val="clear" w:pos="360"/>
        </w:tabs>
        <w:spacing w:before="0" w:beforeAutospacing="0" w:after="0" w:afterAutospacing="0" w:line="360" w:lineRule="auto"/>
        <w:ind w:left="720"/>
        <w:jc w:val="both"/>
      </w:pPr>
      <w:r>
        <w:t>учетная, или дисконтная, политика (учет/переучет векселей коммерческих банков, лимитирование переучета, повышение учетной ставки при рестрикционной кредитной политике, снижение учетной ставки при экспансионистской кредитной политике);</w:t>
      </w:r>
    </w:p>
    <w:p w:rsidR="00076E29" w:rsidRDefault="00760221" w:rsidP="00760221">
      <w:pPr>
        <w:pStyle w:val="afa"/>
        <w:numPr>
          <w:ilvl w:val="0"/>
          <w:numId w:val="5"/>
        </w:numPr>
        <w:tabs>
          <w:tab w:val="clear" w:pos="360"/>
        </w:tabs>
        <w:spacing w:before="0" w:beforeAutospacing="0" w:after="0" w:afterAutospacing="0" w:line="360" w:lineRule="auto"/>
        <w:ind w:left="720"/>
        <w:jc w:val="both"/>
      </w:pPr>
      <w:r>
        <w:t>установление норм обязательного резервирования для коммерческих банков.</w:t>
      </w:r>
    </w:p>
    <w:p w:rsidR="00076E29" w:rsidRDefault="00760221">
      <w:pPr>
        <w:spacing w:line="360" w:lineRule="auto"/>
        <w:ind w:firstLine="720"/>
        <w:jc w:val="both"/>
      </w:pPr>
      <w:r>
        <w:t>Важнейший из перечисленных регуляторов — процентная ставка, или ставка рефинансирования Банка России</w:t>
      </w:r>
    </w:p>
    <w:p w:rsidR="00076E29" w:rsidRDefault="00760221">
      <w:pPr>
        <w:spacing w:line="360" w:lineRule="auto"/>
        <w:ind w:firstLine="720"/>
        <w:jc w:val="both"/>
      </w:pPr>
      <w:r>
        <w:t xml:space="preserve">Кредитная политика, способствуя поддержанию ликвидности банковской системы, приводит к замораживанию денежных средств и сдерживает инвестиционные вливания в экономику. В качестве сдерживающего фактора в инвестиционной активности хозяйствующих субъектов выступает также стоимость кредитных ресурсов, обусловленная процентными ставками. При высокой их стоимости предпочтение отдается не заемным, а привлеченным источникам финансирования, которые в большинстве своем носят краткосрочный характер и в силу этого неприемлемы для инвестирования (рис. 4). </w:t>
      </w:r>
    </w:p>
    <w:p w:rsidR="00076E29" w:rsidRDefault="00076E29">
      <w:pPr>
        <w:spacing w:line="360" w:lineRule="auto"/>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350"/>
        <w:gridCol w:w="3432"/>
      </w:tblGrid>
      <w:tr w:rsidR="00076E29">
        <w:trPr>
          <w:jc w:val="center"/>
        </w:trPr>
        <w:tc>
          <w:tcPr>
            <w:tcW w:w="3001" w:type="dxa"/>
          </w:tcPr>
          <w:p w:rsidR="00076E29" w:rsidRDefault="00076E29">
            <w:pPr>
              <w:jc w:val="center"/>
              <w:rPr>
                <w:i/>
                <w:sz w:val="22"/>
                <w:szCs w:val="22"/>
              </w:rPr>
            </w:pPr>
          </w:p>
          <w:p w:rsidR="00076E29" w:rsidRDefault="00760221">
            <w:pPr>
              <w:jc w:val="center"/>
              <w:rPr>
                <w:i/>
                <w:sz w:val="22"/>
                <w:szCs w:val="22"/>
              </w:rPr>
            </w:pPr>
            <w:r>
              <w:rPr>
                <w:i/>
                <w:sz w:val="22"/>
                <w:szCs w:val="22"/>
              </w:rPr>
              <w:t>Кредитная политика</w:t>
            </w:r>
          </w:p>
          <w:p w:rsidR="00076E29" w:rsidRDefault="00760221">
            <w:pPr>
              <w:jc w:val="center"/>
              <w:rPr>
                <w:sz w:val="22"/>
                <w:szCs w:val="22"/>
              </w:rPr>
            </w:pPr>
            <w:r>
              <w:rPr>
                <w:sz w:val="22"/>
                <w:szCs w:val="22"/>
              </w:rPr>
              <w:t>(нормы обязательного резервирования, процентные ставки, регулирование кредитной массы)</w:t>
            </w:r>
          </w:p>
          <w:p w:rsidR="00076E29" w:rsidRDefault="00076E29">
            <w:pPr>
              <w:jc w:val="center"/>
              <w:rPr>
                <w:sz w:val="22"/>
                <w:szCs w:val="22"/>
              </w:rPr>
            </w:pPr>
          </w:p>
        </w:tc>
        <w:tc>
          <w:tcPr>
            <w:tcW w:w="2350" w:type="dxa"/>
          </w:tcPr>
          <w:p w:rsidR="00076E29" w:rsidRDefault="000A3D63">
            <w:pPr>
              <w:jc w:val="both"/>
              <w:rPr>
                <w:sz w:val="22"/>
                <w:szCs w:val="22"/>
              </w:rPr>
            </w:pPr>
            <w:r>
              <w:rPr>
                <w:noProof/>
                <w:sz w:val="22"/>
                <w:szCs w:val="22"/>
              </w:rPr>
              <w:pict>
                <v:shape id="_x0000_s1136" type="#_x0000_t93" style="position:absolute;left:0;text-align:left;margin-left:15.45pt;margin-top:30.25pt;width:76.9pt;height:63pt;z-index:251661312;mso-position-horizontal-relative:text;mso-position-vertical-relative:text"/>
              </w:pict>
            </w:r>
            <w:r>
              <w:rPr>
                <w:noProof/>
                <w:sz w:val="22"/>
                <w:szCs w:val="22"/>
              </w:rPr>
              <w:pict>
                <v:group id="_x0000_s1125" editas="canvas" style="position:absolute;margin-left:0;margin-top:0;width:99pt;height:63pt;z-index:251654144;mso-position-horizontal-relative:char;mso-position-vertical-relative:line" coordorigin="2278,11321" coordsize="7200,4320">
                  <o:lock v:ext="edit" aspectratio="t"/>
                  <v:shape id="_x0000_s1126" type="#_x0000_t75" style="position:absolute;left:2278;top:11321;width:7200;height:4320" o:preferrelative="f">
                    <v:fill o:detectmouseclick="t"/>
                    <v:path o:extrusionok="t" o:connecttype="none"/>
                    <o:lock v:ext="edit" text="t"/>
                  </v:shape>
                </v:group>
              </w:pict>
            </w:r>
            <w:r>
              <w:pict>
                <v:shape id="_x0000_i1028" type="#_x0000_t75" style="width:99pt;height:63pt">
                  <v:imagedata croptop="-65520f" cropbottom="65520f"/>
                </v:shape>
              </w:pict>
            </w:r>
          </w:p>
        </w:tc>
        <w:tc>
          <w:tcPr>
            <w:tcW w:w="3432" w:type="dxa"/>
          </w:tcPr>
          <w:p w:rsidR="00076E29" w:rsidRDefault="00760221">
            <w:pPr>
              <w:jc w:val="center"/>
              <w:rPr>
                <w:sz w:val="22"/>
                <w:szCs w:val="22"/>
              </w:rPr>
            </w:pPr>
            <w:r>
              <w:rPr>
                <w:i/>
                <w:sz w:val="22"/>
                <w:szCs w:val="22"/>
              </w:rPr>
              <w:t xml:space="preserve">Инвестиционная политика </w:t>
            </w:r>
            <w:r>
              <w:rPr>
                <w:sz w:val="22"/>
                <w:szCs w:val="22"/>
              </w:rPr>
              <w:t>(минимизация в силу ограниченности и высокой стоимости кредитных ресурсов).</w:t>
            </w:r>
          </w:p>
          <w:p w:rsidR="00076E29" w:rsidRDefault="00760221">
            <w:pPr>
              <w:jc w:val="center"/>
              <w:rPr>
                <w:i/>
                <w:sz w:val="22"/>
                <w:szCs w:val="22"/>
              </w:rPr>
            </w:pPr>
            <w:r>
              <w:rPr>
                <w:i/>
                <w:sz w:val="22"/>
                <w:szCs w:val="22"/>
              </w:rPr>
              <w:t>Политика заимствований</w:t>
            </w:r>
          </w:p>
          <w:p w:rsidR="00076E29" w:rsidRDefault="00760221">
            <w:pPr>
              <w:jc w:val="center"/>
              <w:rPr>
                <w:sz w:val="22"/>
                <w:szCs w:val="22"/>
              </w:rPr>
            </w:pPr>
            <w:r>
              <w:rPr>
                <w:sz w:val="22"/>
                <w:szCs w:val="22"/>
              </w:rPr>
              <w:t>(предпочтение привлеченным источникам финансирования краткосрочного характера)</w:t>
            </w:r>
          </w:p>
        </w:tc>
      </w:tr>
    </w:tbl>
    <w:p w:rsidR="00076E29" w:rsidRDefault="00076E29">
      <w:pPr>
        <w:jc w:val="center"/>
      </w:pPr>
    </w:p>
    <w:p w:rsidR="00076E29" w:rsidRDefault="00760221">
      <w:pPr>
        <w:jc w:val="center"/>
      </w:pPr>
      <w:r>
        <w:rPr>
          <w:b/>
        </w:rPr>
        <w:t xml:space="preserve">Рис. 4. </w:t>
      </w:r>
      <w:r>
        <w:t>Влияние кредитной макроэкономической политики на корпоративную финансовую политику</w:t>
      </w:r>
    </w:p>
    <w:p w:rsidR="00076E29" w:rsidRDefault="00076E29">
      <w:pPr>
        <w:ind w:firstLine="720"/>
        <w:jc w:val="both"/>
      </w:pPr>
    </w:p>
    <w:p w:rsidR="00076E29" w:rsidRDefault="00760221">
      <w:pPr>
        <w:spacing w:line="360" w:lineRule="auto"/>
        <w:ind w:firstLine="720"/>
        <w:jc w:val="both"/>
      </w:pPr>
      <w:r>
        <w:rPr>
          <w:i/>
        </w:rPr>
        <w:t>Долговая политика</w:t>
      </w:r>
      <w:r>
        <w:t>. В условиях ориентирования экономики на ускорение темпов экономического роста, основной целью долговой политики является замещение внешнего долга внутренними государственными заимствованиями. Преобладание долга, номинированного в иностранной валюте, является серьезным фактором риска, ставящего управление долгом в жесткую зависимость от валютной политики и состояния платежного баланса. При этом следует учитывать сохраняющиеся риски ограничения доступа на внешние рынки заимствований по независящим от Российской Федерации причинам.</w:t>
      </w:r>
    </w:p>
    <w:p w:rsidR="00076E29" w:rsidRDefault="00760221">
      <w:pPr>
        <w:spacing w:line="360" w:lineRule="auto"/>
        <w:ind w:firstLine="720"/>
        <w:jc w:val="both"/>
      </w:pPr>
      <w:r>
        <w:t>В этой связи приоритет при осуществлении государственных заимствований в долгосрочном плане отдается внутренним заимствованиям. Политика в области государственного долга в среднесрочной перспективе базируется на следующих принципах:</w:t>
      </w:r>
    </w:p>
    <w:p w:rsidR="00076E29" w:rsidRDefault="00760221" w:rsidP="00760221">
      <w:pPr>
        <w:numPr>
          <w:ilvl w:val="0"/>
          <w:numId w:val="6"/>
        </w:numPr>
        <w:tabs>
          <w:tab w:val="clear" w:pos="1440"/>
        </w:tabs>
        <w:spacing w:line="360" w:lineRule="auto"/>
        <w:ind w:left="720" w:hanging="540"/>
        <w:jc w:val="both"/>
      </w:pPr>
      <w:r>
        <w:t>объем государственных заимствований не должен превышать объем погашения государственного долга;</w:t>
      </w:r>
    </w:p>
    <w:p w:rsidR="00076E29" w:rsidRDefault="00760221" w:rsidP="00760221">
      <w:pPr>
        <w:numPr>
          <w:ilvl w:val="0"/>
          <w:numId w:val="6"/>
        </w:numPr>
        <w:tabs>
          <w:tab w:val="clear" w:pos="1440"/>
        </w:tabs>
        <w:spacing w:line="360" w:lineRule="auto"/>
        <w:ind w:left="720" w:hanging="540"/>
        <w:jc w:val="both"/>
      </w:pPr>
      <w:r>
        <w:t>размер государственного долга и его структура должны обеспечивать выполнение Российской Федерацией обязательств по его погашению и обслуживанию, а также гарантированную возможность рефинансирования долга, независимо от состояния бюджета и прогнозируемого изменения внешнеэкономической конъюнктуры в конкретный период времени;</w:t>
      </w:r>
    </w:p>
    <w:p w:rsidR="00076E29" w:rsidRDefault="00760221" w:rsidP="00760221">
      <w:pPr>
        <w:numPr>
          <w:ilvl w:val="0"/>
          <w:numId w:val="6"/>
        </w:numPr>
        <w:tabs>
          <w:tab w:val="clear" w:pos="1440"/>
        </w:tabs>
        <w:spacing w:line="360" w:lineRule="auto"/>
        <w:ind w:left="720" w:hanging="540"/>
        <w:jc w:val="both"/>
      </w:pPr>
      <w:r>
        <w:t>активное управление государственным долгом с целью снижения рисков, связанных с его структурой, снижение стоимости его обслуживания;</w:t>
      </w:r>
    </w:p>
    <w:p w:rsidR="00076E29" w:rsidRDefault="00760221" w:rsidP="00760221">
      <w:pPr>
        <w:numPr>
          <w:ilvl w:val="0"/>
          <w:numId w:val="6"/>
        </w:numPr>
        <w:tabs>
          <w:tab w:val="clear" w:pos="1440"/>
        </w:tabs>
        <w:spacing w:line="360" w:lineRule="auto"/>
        <w:ind w:left="720" w:hanging="540"/>
        <w:jc w:val="both"/>
      </w:pPr>
      <w:r>
        <w:t>увеличение удельного веса внутреннего долга в структуре государственного долга;</w:t>
      </w:r>
    </w:p>
    <w:p w:rsidR="00076E29" w:rsidRDefault="00760221" w:rsidP="00760221">
      <w:pPr>
        <w:numPr>
          <w:ilvl w:val="0"/>
          <w:numId w:val="6"/>
        </w:numPr>
        <w:tabs>
          <w:tab w:val="clear" w:pos="1440"/>
        </w:tabs>
        <w:spacing w:line="360" w:lineRule="auto"/>
        <w:ind w:left="720" w:hanging="540"/>
        <w:jc w:val="both"/>
      </w:pPr>
      <w:r>
        <w:t>увеличение сроков рыночных внутренних заимствований без существенного роста доходности инструментов, в т.ч. с целью формирования уровня процентных ставок по корпоративным и субфедеральным займам. Повышение ликвидности рынка государственных ценных бумаг за счет увеличения объемов новых выпусков государственных облигаций;</w:t>
      </w:r>
    </w:p>
    <w:p w:rsidR="00076E29" w:rsidRDefault="00760221" w:rsidP="00760221">
      <w:pPr>
        <w:numPr>
          <w:ilvl w:val="0"/>
          <w:numId w:val="6"/>
        </w:numPr>
        <w:tabs>
          <w:tab w:val="clear" w:pos="1440"/>
        </w:tabs>
        <w:spacing w:line="360" w:lineRule="auto"/>
        <w:ind w:left="720" w:hanging="540"/>
        <w:jc w:val="both"/>
      </w:pPr>
      <w:r>
        <w:t>разработка и внедрение новых видов государственных облигаций с целью сегментации рынка государственных ценных бумаг и с учетом целей инвестирования различных групп инвесторов, в том числе в связи с проведением пенсионной реформы (институциональные инвесторы, Пенсионный фонд РФ).</w:t>
      </w:r>
    </w:p>
    <w:p w:rsidR="00076E29" w:rsidRDefault="00760221">
      <w:pPr>
        <w:pStyle w:val="text-content-page1"/>
        <w:spacing w:before="0"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Долговая макроэкономическая политика во многом определяет кредитный рейтинг страны, позволяющий оценить ее положение на международном рынке, являясь определяющим при присвоении многих национальных рейтингов. </w:t>
      </w:r>
    </w:p>
    <w:p w:rsidR="00076E29" w:rsidRDefault="00760221">
      <w:pPr>
        <w:spacing w:line="360" w:lineRule="auto"/>
        <w:ind w:firstLine="720"/>
        <w:jc w:val="both"/>
      </w:pPr>
      <w:r>
        <w:t>Так, неупорядоченная долговая политика на макроуровне обусловливает низкий кредитный рейтинг страны, на фоне которого рейтинги отдельных хозяйствующих субъектов оказываются неразличимыми, что сдерживает их продвижение на международных рынках. Напротив, высокий рейтинг страны способствует активизации хозяйствующих субъектов на мировых рынках, открывает им доступ к относительно дешевым кредитным ресурсам в силу низких процентных ставок в развитых странах. Таким образом, долговая макроэкономическая политика во многом определяет политику позиционирования компаний на международных рынках, обусловливает их инвестиционную привлекательность, позволяет диверсифицировать кредитные ресурсы, снизить их стоимость, следовательно, непосредственно влияет на корпоративную политику заимствований и инвестиционную политику (рис. 5).</w:t>
      </w:r>
    </w:p>
    <w:p w:rsidR="00076E29" w:rsidRDefault="00076E29">
      <w:pPr>
        <w:spacing w:line="360" w:lineRule="auto"/>
        <w:ind w:firstLine="72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350"/>
        <w:gridCol w:w="3432"/>
      </w:tblGrid>
      <w:tr w:rsidR="00076E29">
        <w:trPr>
          <w:jc w:val="center"/>
        </w:trPr>
        <w:tc>
          <w:tcPr>
            <w:tcW w:w="3001" w:type="dxa"/>
          </w:tcPr>
          <w:p w:rsidR="00076E29" w:rsidRDefault="00076E29">
            <w:pPr>
              <w:jc w:val="center"/>
              <w:rPr>
                <w:i/>
                <w:sz w:val="22"/>
                <w:szCs w:val="22"/>
              </w:rPr>
            </w:pPr>
          </w:p>
          <w:p w:rsidR="00076E29" w:rsidRDefault="00076E29">
            <w:pPr>
              <w:jc w:val="center"/>
              <w:rPr>
                <w:i/>
                <w:sz w:val="22"/>
                <w:szCs w:val="22"/>
              </w:rPr>
            </w:pPr>
          </w:p>
          <w:p w:rsidR="00076E29" w:rsidRDefault="00760221">
            <w:pPr>
              <w:jc w:val="center"/>
              <w:rPr>
                <w:i/>
                <w:sz w:val="22"/>
                <w:szCs w:val="22"/>
              </w:rPr>
            </w:pPr>
            <w:r>
              <w:rPr>
                <w:i/>
                <w:sz w:val="22"/>
                <w:szCs w:val="22"/>
              </w:rPr>
              <w:t>Долговая политика</w:t>
            </w:r>
          </w:p>
          <w:p w:rsidR="00076E29" w:rsidRDefault="00760221">
            <w:pPr>
              <w:jc w:val="center"/>
              <w:rPr>
                <w:sz w:val="22"/>
                <w:szCs w:val="22"/>
              </w:rPr>
            </w:pPr>
            <w:r>
              <w:rPr>
                <w:sz w:val="22"/>
                <w:szCs w:val="22"/>
              </w:rPr>
              <w:t>(уровень странового кредитного рейтинга)</w:t>
            </w:r>
          </w:p>
          <w:p w:rsidR="00076E29" w:rsidRDefault="00076E29">
            <w:pPr>
              <w:jc w:val="center"/>
              <w:rPr>
                <w:sz w:val="22"/>
                <w:szCs w:val="22"/>
              </w:rPr>
            </w:pPr>
          </w:p>
        </w:tc>
        <w:tc>
          <w:tcPr>
            <w:tcW w:w="2350" w:type="dxa"/>
          </w:tcPr>
          <w:p w:rsidR="00076E29" w:rsidRDefault="000A3D63">
            <w:pPr>
              <w:jc w:val="both"/>
              <w:rPr>
                <w:sz w:val="22"/>
                <w:szCs w:val="22"/>
              </w:rPr>
            </w:pPr>
            <w:r>
              <w:rPr>
                <w:noProof/>
                <w:sz w:val="22"/>
                <w:szCs w:val="22"/>
              </w:rPr>
              <w:pict>
                <v:shape id="_x0000_s1137" type="#_x0000_t93" style="position:absolute;left:0;text-align:left;margin-left:15.45pt;margin-top:24.7pt;width:76.9pt;height:63pt;z-index:251662336;mso-position-horizontal-relative:text;mso-position-vertical-relative:text"/>
              </w:pict>
            </w:r>
            <w:r>
              <w:rPr>
                <w:noProof/>
                <w:sz w:val="22"/>
                <w:szCs w:val="22"/>
              </w:rPr>
              <w:pict>
                <v:group id="_x0000_s1123" editas="canvas" style="position:absolute;margin-left:0;margin-top:0;width:99pt;height:63pt;z-index:251653120;mso-position-horizontal-relative:char;mso-position-vertical-relative:line" coordorigin="2278,11321" coordsize="7200,4320">
                  <o:lock v:ext="edit" aspectratio="t"/>
                  <v:shape id="_x0000_s1124" type="#_x0000_t75" style="position:absolute;left:2278;top:11321;width:7200;height:4320" o:preferrelative="f">
                    <v:fill o:detectmouseclick="t"/>
                    <v:path o:extrusionok="t" o:connecttype="none"/>
                    <o:lock v:ext="edit" text="t"/>
                  </v:shape>
                </v:group>
              </w:pict>
            </w:r>
            <w:r>
              <w:pict>
                <v:shape id="_x0000_i1029" type="#_x0000_t75" style="width:99pt;height:63pt">
                  <v:imagedata croptop="-65520f" cropbottom="65520f"/>
                </v:shape>
              </w:pict>
            </w:r>
          </w:p>
        </w:tc>
        <w:tc>
          <w:tcPr>
            <w:tcW w:w="3432" w:type="dxa"/>
          </w:tcPr>
          <w:p w:rsidR="00076E29" w:rsidRDefault="00760221">
            <w:pPr>
              <w:jc w:val="center"/>
              <w:rPr>
                <w:sz w:val="22"/>
                <w:szCs w:val="22"/>
              </w:rPr>
            </w:pPr>
            <w:r>
              <w:rPr>
                <w:i/>
                <w:sz w:val="22"/>
                <w:szCs w:val="22"/>
              </w:rPr>
              <w:t xml:space="preserve">Инвестиционная политика </w:t>
            </w:r>
            <w:r>
              <w:rPr>
                <w:sz w:val="22"/>
                <w:szCs w:val="22"/>
              </w:rPr>
              <w:t>(привлечение иностранных инвестиций).</w:t>
            </w:r>
          </w:p>
          <w:p w:rsidR="00076E29" w:rsidRDefault="00760221">
            <w:pPr>
              <w:jc w:val="center"/>
              <w:rPr>
                <w:i/>
                <w:sz w:val="22"/>
                <w:szCs w:val="22"/>
              </w:rPr>
            </w:pPr>
            <w:r>
              <w:rPr>
                <w:i/>
                <w:sz w:val="22"/>
                <w:szCs w:val="22"/>
              </w:rPr>
              <w:t>Политика заимствований</w:t>
            </w:r>
          </w:p>
          <w:p w:rsidR="00076E29" w:rsidRDefault="00760221">
            <w:pPr>
              <w:jc w:val="center"/>
              <w:rPr>
                <w:sz w:val="22"/>
                <w:szCs w:val="22"/>
              </w:rPr>
            </w:pPr>
            <w:r>
              <w:rPr>
                <w:sz w:val="22"/>
                <w:szCs w:val="22"/>
              </w:rPr>
              <w:t>(доступ к дешевым кредитным ресурсам).</w:t>
            </w:r>
          </w:p>
          <w:p w:rsidR="00076E29" w:rsidRDefault="00760221">
            <w:pPr>
              <w:jc w:val="center"/>
              <w:rPr>
                <w:sz w:val="22"/>
                <w:szCs w:val="22"/>
              </w:rPr>
            </w:pPr>
            <w:r>
              <w:rPr>
                <w:i/>
                <w:sz w:val="22"/>
                <w:szCs w:val="22"/>
              </w:rPr>
              <w:t>Позиционирование на международных рынках</w:t>
            </w:r>
            <w:r>
              <w:rPr>
                <w:sz w:val="22"/>
                <w:szCs w:val="22"/>
              </w:rPr>
              <w:t>.</w:t>
            </w:r>
          </w:p>
        </w:tc>
      </w:tr>
    </w:tbl>
    <w:p w:rsidR="00076E29" w:rsidRDefault="00076E29">
      <w:pPr>
        <w:jc w:val="center"/>
      </w:pPr>
    </w:p>
    <w:p w:rsidR="00076E29" w:rsidRDefault="00760221">
      <w:pPr>
        <w:jc w:val="center"/>
      </w:pPr>
      <w:r>
        <w:rPr>
          <w:b/>
        </w:rPr>
        <w:t xml:space="preserve">Рис. 5. </w:t>
      </w:r>
      <w:r>
        <w:t>Влияние долговой макроэкономической политики на корпоративную финансовую политику</w:t>
      </w:r>
    </w:p>
    <w:p w:rsidR="00076E29" w:rsidRDefault="00076E29">
      <w:pPr>
        <w:jc w:val="center"/>
      </w:pPr>
    </w:p>
    <w:p w:rsidR="00076E29" w:rsidRDefault="00760221">
      <w:pPr>
        <w:spacing w:line="360" w:lineRule="auto"/>
        <w:ind w:firstLine="720"/>
        <w:jc w:val="both"/>
      </w:pPr>
      <w:r>
        <w:rPr>
          <w:i/>
        </w:rPr>
        <w:t>Налоговая политика</w:t>
      </w:r>
      <w:r>
        <w:t xml:space="preserve"> и уровень налогообложения определяют масштаб теневых операций, степень легализации финансово-хозяйственной деятельности хозяйствующих субъектов и их финансовую прозрачность (транспарентность). При разумном налоговом обременении теневые операции минимизируются, а масштаб деятельности, высокие финансовые результаты являются действенным финансовым аргументом в позиционировании компании на рынке, обусловливают высокий корпоративный рейтинг, инвестиционную привлекательность и кредитоспособность. В этих условиях внутрихозяйственная налоговая политика ограничивается рамками налогового менеджмента, который оперирует, прежде всего, легальными способами в оптимизации налогообложения (рис.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1"/>
        <w:gridCol w:w="2350"/>
        <w:gridCol w:w="3432"/>
      </w:tblGrid>
      <w:tr w:rsidR="00076E29">
        <w:trPr>
          <w:jc w:val="center"/>
        </w:trPr>
        <w:tc>
          <w:tcPr>
            <w:tcW w:w="3001" w:type="dxa"/>
          </w:tcPr>
          <w:p w:rsidR="00076E29" w:rsidRDefault="00076E29">
            <w:pPr>
              <w:jc w:val="center"/>
              <w:rPr>
                <w:i/>
                <w:sz w:val="22"/>
                <w:szCs w:val="22"/>
              </w:rPr>
            </w:pPr>
          </w:p>
          <w:p w:rsidR="00076E29" w:rsidRDefault="00760221">
            <w:pPr>
              <w:jc w:val="center"/>
              <w:rPr>
                <w:i/>
                <w:sz w:val="22"/>
                <w:szCs w:val="22"/>
              </w:rPr>
            </w:pPr>
            <w:r>
              <w:rPr>
                <w:i/>
                <w:sz w:val="22"/>
                <w:szCs w:val="22"/>
              </w:rPr>
              <w:t>Налоговая политика</w:t>
            </w:r>
          </w:p>
          <w:p w:rsidR="00076E29" w:rsidRDefault="00760221">
            <w:pPr>
              <w:jc w:val="center"/>
              <w:rPr>
                <w:sz w:val="22"/>
                <w:szCs w:val="22"/>
              </w:rPr>
            </w:pPr>
            <w:r>
              <w:rPr>
                <w:sz w:val="22"/>
                <w:szCs w:val="22"/>
              </w:rPr>
              <w:t>(уровень налогового давления)</w:t>
            </w:r>
          </w:p>
          <w:p w:rsidR="00076E29" w:rsidRDefault="00076E29">
            <w:pPr>
              <w:jc w:val="center"/>
              <w:rPr>
                <w:sz w:val="22"/>
                <w:szCs w:val="22"/>
              </w:rPr>
            </w:pPr>
          </w:p>
        </w:tc>
        <w:tc>
          <w:tcPr>
            <w:tcW w:w="2350" w:type="dxa"/>
          </w:tcPr>
          <w:p w:rsidR="00076E29" w:rsidRDefault="000A3D63">
            <w:pPr>
              <w:jc w:val="both"/>
              <w:rPr>
                <w:sz w:val="22"/>
                <w:szCs w:val="22"/>
              </w:rPr>
            </w:pPr>
            <w:r>
              <w:rPr>
                <w:noProof/>
                <w:sz w:val="22"/>
                <w:szCs w:val="22"/>
              </w:rPr>
              <w:pict>
                <v:shape id="_x0000_s1138" type="#_x0000_t93" style="position:absolute;left:0;text-align:left;margin-left:15.7pt;margin-top:6.65pt;width:76.9pt;height:63pt;z-index:251663360;mso-position-horizontal-relative:text;mso-position-vertical-relative:text"/>
              </w:pict>
            </w:r>
            <w:r>
              <w:rPr>
                <w:noProof/>
                <w:sz w:val="22"/>
                <w:szCs w:val="22"/>
              </w:rPr>
              <w:pict>
                <v:group id="_x0000_s1121" editas="canvas" style="position:absolute;margin-left:0;margin-top:0;width:99pt;height:63pt;z-index:251652096;mso-position-horizontal-relative:char;mso-position-vertical-relative:line" coordorigin="2278,11321" coordsize="7200,4320">
                  <o:lock v:ext="edit" aspectratio="t"/>
                  <v:shape id="_x0000_s1122" type="#_x0000_t75" style="position:absolute;left:2278;top:11321;width:7200;height:4320" o:preferrelative="f">
                    <v:fill o:detectmouseclick="t"/>
                    <v:path o:extrusionok="t" o:connecttype="none"/>
                    <o:lock v:ext="edit" text="t"/>
                  </v:shape>
                </v:group>
              </w:pict>
            </w:r>
            <w:r>
              <w:pict>
                <v:shape id="_x0000_i1030" type="#_x0000_t75" style="width:99pt;height:63pt">
                  <v:imagedata croptop="-65520f" cropbottom="65520f"/>
                </v:shape>
              </w:pict>
            </w:r>
          </w:p>
        </w:tc>
        <w:tc>
          <w:tcPr>
            <w:tcW w:w="3432" w:type="dxa"/>
          </w:tcPr>
          <w:p w:rsidR="00076E29" w:rsidRDefault="00760221">
            <w:pPr>
              <w:jc w:val="center"/>
              <w:rPr>
                <w:i/>
                <w:sz w:val="22"/>
                <w:szCs w:val="22"/>
              </w:rPr>
            </w:pPr>
            <w:r>
              <w:rPr>
                <w:i/>
                <w:sz w:val="22"/>
                <w:szCs w:val="22"/>
              </w:rPr>
              <w:t xml:space="preserve">Финансовая прозрачность </w:t>
            </w:r>
            <w:r>
              <w:rPr>
                <w:sz w:val="22"/>
                <w:szCs w:val="22"/>
              </w:rPr>
              <w:t>(мера легализации деятельности)</w:t>
            </w:r>
            <w:r>
              <w:rPr>
                <w:i/>
                <w:sz w:val="22"/>
                <w:szCs w:val="22"/>
              </w:rPr>
              <w:t>.</w:t>
            </w:r>
          </w:p>
          <w:p w:rsidR="00076E29" w:rsidRDefault="00760221">
            <w:pPr>
              <w:jc w:val="center"/>
              <w:rPr>
                <w:sz w:val="22"/>
                <w:szCs w:val="22"/>
              </w:rPr>
            </w:pPr>
            <w:r>
              <w:rPr>
                <w:i/>
                <w:sz w:val="22"/>
                <w:szCs w:val="22"/>
              </w:rPr>
              <w:t xml:space="preserve">Налоговый менеджмент </w:t>
            </w:r>
            <w:r>
              <w:rPr>
                <w:sz w:val="22"/>
                <w:szCs w:val="22"/>
              </w:rPr>
              <w:t>(оптимизация налогообложения).</w:t>
            </w:r>
          </w:p>
        </w:tc>
      </w:tr>
    </w:tbl>
    <w:p w:rsidR="00076E29" w:rsidRDefault="00076E29">
      <w:pPr>
        <w:jc w:val="center"/>
      </w:pPr>
    </w:p>
    <w:p w:rsidR="00076E29" w:rsidRDefault="00760221">
      <w:pPr>
        <w:jc w:val="center"/>
      </w:pPr>
      <w:r>
        <w:rPr>
          <w:b/>
        </w:rPr>
        <w:t xml:space="preserve">Рис. 6. </w:t>
      </w:r>
      <w:r>
        <w:t>Влияние налоговой макроэкономической политики на корпоративную финансовую политику</w:t>
      </w:r>
    </w:p>
    <w:p w:rsidR="00076E29" w:rsidRDefault="00076E29">
      <w:pPr>
        <w:spacing w:line="360" w:lineRule="auto"/>
        <w:ind w:firstLine="720"/>
        <w:jc w:val="both"/>
      </w:pPr>
    </w:p>
    <w:p w:rsidR="00076E29" w:rsidRDefault="00760221">
      <w:pPr>
        <w:spacing w:line="360" w:lineRule="auto"/>
        <w:ind w:firstLine="720"/>
        <w:jc w:val="both"/>
      </w:pPr>
      <w:r>
        <w:t xml:space="preserve">Тарифная политика на услуги инфраструктурных монополий является фактором, определяющим уровень себестоимости продукции, работ и услуг, следовательно, она обусловливает особенности в политике управления затратами. </w:t>
      </w:r>
    </w:p>
    <w:p w:rsidR="00076E29" w:rsidRDefault="00760221">
      <w:pPr>
        <w:spacing w:line="360" w:lineRule="auto"/>
        <w:ind w:firstLine="720"/>
        <w:jc w:val="both"/>
      </w:pPr>
      <w:r>
        <w:t xml:space="preserve">Проблемные вопросы институциональной политики, в частности, неработающий инфорсмент, способствуют активизации неформальных «правил игры» и функционированию формальных институтов по образу и подобию неформальных. В этих условиях минимизируются легальные обороты, увеличиваются теневые операции, снижается транспарентность бизнеса. </w:t>
      </w:r>
    </w:p>
    <w:p w:rsidR="00076E29" w:rsidRDefault="00760221">
      <w:pPr>
        <w:spacing w:line="360" w:lineRule="auto"/>
        <w:ind w:firstLine="720"/>
        <w:jc w:val="both"/>
      </w:pPr>
      <w:r>
        <w:t xml:space="preserve">Структурная макрополитика во многом определяет диверсификацию и ассортиментную политику на микроуровне. </w:t>
      </w:r>
    </w:p>
    <w:p w:rsidR="00076E29" w:rsidRDefault="00760221">
      <w:pPr>
        <w:spacing w:line="360" w:lineRule="auto"/>
        <w:ind w:firstLine="720"/>
        <w:jc w:val="both"/>
      </w:pPr>
      <w:r>
        <w:t>Монополизированный рынок допускает возможность сговора и способствует формированию ценовой политики хозяйствующих субъектов в интересах производителей без учета интересов потребителей.</w:t>
      </w:r>
    </w:p>
    <w:p w:rsidR="00076E29" w:rsidRDefault="00076E29">
      <w:pPr>
        <w:spacing w:line="360" w:lineRule="auto"/>
        <w:ind w:firstLine="720"/>
        <w:jc w:val="both"/>
      </w:pPr>
    </w:p>
    <w:p w:rsidR="00076E29" w:rsidRDefault="00760221">
      <w:pPr>
        <w:spacing w:line="360" w:lineRule="auto"/>
        <w:jc w:val="center"/>
        <w:rPr>
          <w:b/>
        </w:rPr>
      </w:pPr>
      <w:r>
        <w:rPr>
          <w:b/>
        </w:rPr>
        <w:t>Литература</w:t>
      </w:r>
    </w:p>
    <w:p w:rsidR="00076E29" w:rsidRDefault="00760221" w:rsidP="00760221">
      <w:pPr>
        <w:pStyle w:val="a5"/>
        <w:widowControl/>
        <w:numPr>
          <w:ilvl w:val="0"/>
          <w:numId w:val="7"/>
        </w:numPr>
        <w:tabs>
          <w:tab w:val="clear" w:pos="720"/>
        </w:tabs>
        <w:autoSpaceDE/>
        <w:autoSpaceDN/>
        <w:adjustRightInd/>
        <w:spacing w:line="360" w:lineRule="auto"/>
        <w:jc w:val="both"/>
        <w:rPr>
          <w:sz w:val="24"/>
          <w:szCs w:val="24"/>
        </w:rPr>
      </w:pPr>
      <w:r>
        <w:rPr>
          <w:b/>
          <w:i/>
          <w:sz w:val="24"/>
          <w:szCs w:val="24"/>
        </w:rPr>
        <w:t>Патрикеев А.</w:t>
      </w:r>
      <w:r>
        <w:rPr>
          <w:sz w:val="24"/>
          <w:szCs w:val="24"/>
        </w:rPr>
        <w:t xml:space="preserve"> Обязаловку отменили. // </w:t>
      </w:r>
      <w:r>
        <w:rPr>
          <w:sz w:val="24"/>
          <w:szCs w:val="24"/>
          <w:lang w:val="en-US"/>
        </w:rPr>
        <w:t>BusinessWeek</w:t>
      </w:r>
      <w:r>
        <w:rPr>
          <w:sz w:val="24"/>
          <w:szCs w:val="24"/>
        </w:rPr>
        <w:t xml:space="preserve">. Россия. 2006. № 18. </w:t>
      </w:r>
    </w:p>
    <w:p w:rsidR="00076E29" w:rsidRDefault="00760221" w:rsidP="00760221">
      <w:pPr>
        <w:pStyle w:val="a5"/>
        <w:widowControl/>
        <w:numPr>
          <w:ilvl w:val="0"/>
          <w:numId w:val="7"/>
        </w:numPr>
        <w:tabs>
          <w:tab w:val="clear" w:pos="720"/>
        </w:tabs>
        <w:autoSpaceDE/>
        <w:autoSpaceDN/>
        <w:adjustRightInd/>
        <w:spacing w:line="360" w:lineRule="auto"/>
        <w:jc w:val="both"/>
        <w:rPr>
          <w:sz w:val="24"/>
          <w:szCs w:val="24"/>
        </w:rPr>
      </w:pPr>
      <w:r>
        <w:rPr>
          <w:b/>
          <w:i/>
          <w:sz w:val="24"/>
          <w:szCs w:val="24"/>
        </w:rPr>
        <w:t xml:space="preserve">Лусников А. </w:t>
      </w:r>
      <w:r>
        <w:rPr>
          <w:sz w:val="24"/>
          <w:szCs w:val="24"/>
        </w:rPr>
        <w:t xml:space="preserve">Бивалютной корзине ЦБ РФ исполняется три года, или особенности курсообразования в зимний период </w:t>
      </w:r>
      <w:r w:rsidRPr="000A3D63">
        <w:rPr>
          <w:sz w:val="24"/>
          <w:szCs w:val="24"/>
        </w:rPr>
        <w:t>/Финмаркет-аналитика /</w:t>
      </w:r>
      <w:r>
        <w:rPr>
          <w:sz w:val="24"/>
          <w:szCs w:val="24"/>
        </w:rPr>
        <w:t> </w:t>
      </w:r>
      <w:hyperlink r:id="rId7" w:history="1">
        <w:r>
          <w:rPr>
            <w:rStyle w:val="ac"/>
            <w:sz w:val="24"/>
            <w:szCs w:val="24"/>
          </w:rPr>
          <w:t>www.finmarket.ru</w:t>
        </w:r>
      </w:hyperlink>
    </w:p>
    <w:p w:rsidR="00076E29" w:rsidRDefault="00760221" w:rsidP="00760221">
      <w:pPr>
        <w:pStyle w:val="a5"/>
        <w:widowControl/>
        <w:numPr>
          <w:ilvl w:val="0"/>
          <w:numId w:val="7"/>
        </w:numPr>
        <w:tabs>
          <w:tab w:val="clear" w:pos="720"/>
        </w:tabs>
        <w:autoSpaceDE/>
        <w:autoSpaceDN/>
        <w:adjustRightInd/>
        <w:spacing w:line="360" w:lineRule="auto"/>
        <w:jc w:val="both"/>
        <w:rPr>
          <w:sz w:val="24"/>
          <w:szCs w:val="24"/>
        </w:rPr>
      </w:pPr>
      <w:r w:rsidRPr="000A3D63">
        <w:rPr>
          <w:sz w:val="24"/>
          <w:szCs w:val="24"/>
          <w:lang w:val="en-US"/>
        </w:rPr>
        <w:t>www.cbr.ru</w:t>
      </w:r>
    </w:p>
    <w:p w:rsidR="00076E29" w:rsidRDefault="00760221" w:rsidP="00760221">
      <w:pPr>
        <w:pStyle w:val="a5"/>
        <w:widowControl/>
        <w:numPr>
          <w:ilvl w:val="0"/>
          <w:numId w:val="7"/>
        </w:numPr>
        <w:tabs>
          <w:tab w:val="clear" w:pos="720"/>
        </w:tabs>
        <w:autoSpaceDE/>
        <w:autoSpaceDN/>
        <w:adjustRightInd/>
        <w:spacing w:line="360" w:lineRule="auto"/>
        <w:jc w:val="both"/>
        <w:rPr>
          <w:sz w:val="24"/>
          <w:szCs w:val="24"/>
        </w:rPr>
      </w:pPr>
      <w:r>
        <w:rPr>
          <w:sz w:val="24"/>
          <w:szCs w:val="24"/>
        </w:rPr>
        <w:t>Обзор экономических показателей. //Экономическая Экспертная Группа/ Министерство финансов РФ. 18 января 2008 года</w:t>
      </w:r>
    </w:p>
    <w:p w:rsidR="00076E29" w:rsidRDefault="00076E29">
      <w:bookmarkStart w:id="6" w:name="_GoBack"/>
      <w:bookmarkEnd w:id="6"/>
    </w:p>
    <w:sectPr w:rsidR="00076E29">
      <w:headerReference w:type="even" r:id="rId8"/>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E29" w:rsidRDefault="00760221">
      <w:r>
        <w:separator/>
      </w:r>
    </w:p>
  </w:endnote>
  <w:endnote w:type="continuationSeparator" w:id="0">
    <w:p w:rsidR="00076E29" w:rsidRDefault="0076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E29" w:rsidRDefault="00760221">
    <w:pPr>
      <w:pStyle w:val="afd"/>
      <w:jc w:val="right"/>
    </w:pPr>
    <w:r>
      <w:fldChar w:fldCharType="begin"/>
    </w:r>
    <w:r>
      <w:instrText xml:space="preserve"> PAGE   \* MERGEFORMAT </w:instrText>
    </w:r>
    <w:r>
      <w:fldChar w:fldCharType="separate"/>
    </w:r>
    <w:r>
      <w:rPr>
        <w:noProof/>
      </w:rPr>
      <w:t>9</w:t>
    </w:r>
    <w:r>
      <w:fldChar w:fldCharType="end"/>
    </w:r>
  </w:p>
  <w:p w:rsidR="00076E29" w:rsidRDefault="00076E2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E29" w:rsidRDefault="00760221">
      <w:r>
        <w:separator/>
      </w:r>
    </w:p>
  </w:footnote>
  <w:footnote w:type="continuationSeparator" w:id="0">
    <w:p w:rsidR="00076E29" w:rsidRDefault="00760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E29" w:rsidRDefault="00760221">
    <w:pPr>
      <w:pStyle w:val="afc"/>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076E29" w:rsidRDefault="00076E29">
    <w:pPr>
      <w:pStyle w:val="af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E29" w:rsidRDefault="00076E29">
    <w:pPr>
      <w:pStyle w:val="afc"/>
      <w:framePr w:w="1447" w:wrap="around" w:vAnchor="text" w:hAnchor="page" w:x="14482" w:y="72"/>
      <w:ind w:right="360"/>
      <w:rPr>
        <w:rStyle w:val="afb"/>
      </w:rPr>
    </w:pPr>
  </w:p>
  <w:p w:rsidR="00076E29" w:rsidRDefault="00076E29">
    <w:pPr>
      <w:pStyle w:val="afc"/>
      <w:tabs>
        <w:tab w:val="clear" w:pos="9355"/>
        <w:tab w:val="right" w:pos="954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958DEA6"/>
    <w:lvl w:ilvl="0">
      <w:start w:val="1"/>
      <w:numFmt w:val="bullet"/>
      <w:pStyle w:val="a"/>
      <w:lvlText w:val=""/>
      <w:lvlJc w:val="left"/>
      <w:pPr>
        <w:tabs>
          <w:tab w:val="num" w:pos="360"/>
        </w:tabs>
        <w:ind w:left="360" w:hanging="360"/>
      </w:pPr>
      <w:rPr>
        <w:rFonts w:ascii="Symbol" w:hAnsi="Symbol" w:hint="default"/>
      </w:rPr>
    </w:lvl>
  </w:abstractNum>
  <w:abstractNum w:abstractNumId="1">
    <w:nsid w:val="25EA3C09"/>
    <w:multiLevelType w:val="hybridMultilevel"/>
    <w:tmpl w:val="A79ECF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478C7BE3"/>
    <w:multiLevelType w:val="hybridMultilevel"/>
    <w:tmpl w:val="1FD486C0"/>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6E3A6608"/>
    <w:multiLevelType w:val="hybridMultilevel"/>
    <w:tmpl w:val="988EFE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1587CD4"/>
    <w:multiLevelType w:val="hybridMultilevel"/>
    <w:tmpl w:val="5BDA1E0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76ED3FB1"/>
    <w:multiLevelType w:val="hybridMultilevel"/>
    <w:tmpl w:val="58B47914"/>
    <w:lvl w:ilvl="0" w:tplc="57B42C38">
      <w:start w:val="1"/>
      <w:numFmt w:val="decimal"/>
      <w:lvlText w:val="%1)"/>
      <w:lvlJc w:val="left"/>
      <w:pPr>
        <w:tabs>
          <w:tab w:val="num" w:pos="360"/>
        </w:tabs>
        <w:ind w:left="36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7F1C1788"/>
    <w:multiLevelType w:val="hybridMultilevel"/>
    <w:tmpl w:val="0172E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1"/>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221"/>
    <w:rsid w:val="00076E29"/>
    <w:rsid w:val="000A3D63"/>
    <w:rsid w:val="00760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5"/>
    <o:shapelayout v:ext="edit">
      <o:idmap v:ext="edit" data="1"/>
    </o:shapelayout>
  </w:shapeDefaults>
  <w:decimalSymbol w:val=","/>
  <w:listSeparator w:val=";"/>
  <w15:chartTrackingRefBased/>
  <w15:docId w15:val="{681B748B-351B-49AC-8A73-0011E652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spacing w:after="200" w:line="276" w:lineRule="auto"/>
      <w:outlineLvl w:val="0"/>
    </w:pPr>
    <w:rPr>
      <w:b/>
    </w:rPr>
  </w:style>
  <w:style w:type="paragraph" w:styleId="2">
    <w:name w:val="heading 2"/>
    <w:basedOn w:val="a0"/>
    <w:next w:val="a0"/>
    <w:qFormat/>
    <w:pPr>
      <w:keepNext/>
      <w:spacing w:before="240" w:after="60"/>
      <w:outlineLvl w:val="1"/>
    </w:pPr>
    <w:rPr>
      <w:rFonts w:ascii="Arial" w:hAnsi="Arial" w:cs="Arial"/>
      <w:b/>
      <w:bCs/>
      <w:i/>
      <w:iCs/>
      <w:sz w:val="28"/>
      <w:szCs w:val="28"/>
    </w:rPr>
  </w:style>
  <w:style w:type="paragraph" w:styleId="5">
    <w:name w:val="heading 5"/>
    <w:basedOn w:val="a0"/>
    <w:next w:val="a0"/>
    <w:qFormat/>
    <w:pPr>
      <w:keepNext/>
      <w:spacing w:line="360" w:lineRule="auto"/>
      <w:jc w:val="both"/>
      <w:outlineLvl w:val="4"/>
    </w:pPr>
    <w:rPr>
      <w:b/>
      <w:bCs/>
      <w:i/>
      <w:color w:val="000000"/>
    </w:rPr>
  </w:style>
  <w:style w:type="paragraph" w:styleId="9">
    <w:name w:val="heading 9"/>
    <w:basedOn w:val="a0"/>
    <w:next w:val="a0"/>
    <w:qFormat/>
    <w:pPr>
      <w:keepNext/>
      <w:spacing w:line="360" w:lineRule="auto"/>
      <w:ind w:firstLine="709"/>
      <w:jc w:val="right"/>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autoRedefine/>
    <w:semiHidden/>
    <w:pPr>
      <w:numPr>
        <w:numId w:val="1"/>
      </w:numPr>
    </w:pPr>
  </w:style>
  <w:style w:type="paragraph" w:customStyle="1" w:styleId="a4">
    <w:name w:val="Абзац списка"/>
    <w:basedOn w:val="a0"/>
    <w:qFormat/>
    <w:pPr>
      <w:ind w:left="720"/>
    </w:pPr>
  </w:style>
  <w:style w:type="paragraph" w:styleId="a5">
    <w:name w:val="footnote text"/>
    <w:aliases w:val="Table_Footnote_last Знак,Table_Footnote_last Знак Знак,Table_Footnote_last,Footnote Text Char Знак Знак,Footnote Text Char Знак,Footnote Text Char Знак Знак Знак Знак,Текст сноски Знак1,Текст сноски Знак Знак,Table_Footnote_last Знак1 Знак"/>
    <w:basedOn w:val="a0"/>
    <w:semiHidden/>
    <w:pPr>
      <w:widowControl w:val="0"/>
      <w:autoSpaceDE w:val="0"/>
      <w:autoSpaceDN w:val="0"/>
      <w:adjustRightInd w:val="0"/>
    </w:pPr>
    <w:rPr>
      <w:sz w:val="20"/>
      <w:szCs w:val="20"/>
    </w:rPr>
  </w:style>
  <w:style w:type="paragraph" w:styleId="a6">
    <w:name w:val="Title"/>
    <w:basedOn w:val="a0"/>
    <w:qFormat/>
    <w:pPr>
      <w:jc w:val="center"/>
    </w:pPr>
    <w:rPr>
      <w:b/>
      <w:sz w:val="28"/>
      <w:szCs w:val="20"/>
    </w:rPr>
  </w:style>
  <w:style w:type="paragraph" w:styleId="a7">
    <w:name w:val="Body Text"/>
    <w:basedOn w:val="a0"/>
    <w:semiHidden/>
    <w:pPr>
      <w:spacing w:after="120"/>
    </w:pPr>
  </w:style>
  <w:style w:type="paragraph" w:styleId="a8">
    <w:name w:val="Body Text Indent"/>
    <w:basedOn w:val="a0"/>
    <w:semiHidden/>
    <w:pPr>
      <w:widowControl w:val="0"/>
      <w:shd w:val="clear" w:color="auto" w:fill="FFFFFF"/>
      <w:autoSpaceDE w:val="0"/>
      <w:autoSpaceDN w:val="0"/>
      <w:adjustRightInd w:val="0"/>
      <w:spacing w:line="360" w:lineRule="auto"/>
      <w:ind w:firstLine="720"/>
      <w:jc w:val="center"/>
    </w:pPr>
    <w:rPr>
      <w:b/>
      <w:bCs/>
      <w:color w:val="000000"/>
      <w:spacing w:val="-2"/>
    </w:rPr>
  </w:style>
  <w:style w:type="paragraph" w:styleId="a9">
    <w:name w:val="Block Text"/>
    <w:basedOn w:val="a0"/>
    <w:semiHidden/>
    <w:pPr>
      <w:widowControl w:val="0"/>
      <w:shd w:val="clear" w:color="auto" w:fill="FFFFFF"/>
      <w:autoSpaceDE w:val="0"/>
      <w:autoSpaceDN w:val="0"/>
      <w:adjustRightInd w:val="0"/>
      <w:spacing w:line="245" w:lineRule="exact"/>
      <w:ind w:left="29" w:right="374" w:firstLine="403"/>
      <w:jc w:val="both"/>
    </w:pPr>
    <w:rPr>
      <w:sz w:val="28"/>
      <w:szCs w:val="20"/>
    </w:rPr>
  </w:style>
  <w:style w:type="paragraph" w:customStyle="1" w:styleId="aa">
    <w:name w:val="Вова"/>
    <w:basedOn w:val="a0"/>
    <w:pPr>
      <w:spacing w:line="360" w:lineRule="auto"/>
      <w:ind w:firstLine="567"/>
      <w:jc w:val="both"/>
    </w:pPr>
    <w:rPr>
      <w:sz w:val="28"/>
      <w:szCs w:val="20"/>
    </w:rPr>
  </w:style>
  <w:style w:type="paragraph" w:styleId="20">
    <w:name w:val="Body Text 2"/>
    <w:basedOn w:val="a0"/>
    <w:semiHidden/>
    <w:pPr>
      <w:spacing w:after="120" w:line="480" w:lineRule="auto"/>
    </w:pPr>
  </w:style>
  <w:style w:type="paragraph" w:styleId="ab">
    <w:name w:val="Subtitle"/>
    <w:basedOn w:val="a0"/>
    <w:qFormat/>
    <w:pPr>
      <w:spacing w:line="360" w:lineRule="auto"/>
      <w:jc w:val="both"/>
    </w:pPr>
    <w:rPr>
      <w:sz w:val="28"/>
      <w:szCs w:val="20"/>
    </w:rPr>
  </w:style>
  <w:style w:type="character" w:styleId="ac">
    <w:name w:val="Hyperlink"/>
    <w:basedOn w:val="a1"/>
    <w:semiHidden/>
    <w:rPr>
      <w:color w:val="000000"/>
      <w:u w:val="single"/>
    </w:rPr>
  </w:style>
  <w:style w:type="paragraph" w:styleId="3">
    <w:name w:val="Body Text Indent 3"/>
    <w:basedOn w:val="a0"/>
    <w:semiHidden/>
    <w:pPr>
      <w:spacing w:after="120" w:line="360" w:lineRule="auto"/>
      <w:ind w:left="283" w:firstLine="57"/>
      <w:jc w:val="both"/>
    </w:pPr>
    <w:rPr>
      <w:sz w:val="16"/>
      <w:szCs w:val="16"/>
    </w:rPr>
  </w:style>
  <w:style w:type="paragraph" w:customStyle="1" w:styleId="10">
    <w:name w:val="Основной текст с отступом1"/>
    <w:basedOn w:val="a0"/>
    <w:pPr>
      <w:spacing w:line="360" w:lineRule="auto"/>
      <w:ind w:firstLine="900"/>
      <w:jc w:val="both"/>
    </w:pPr>
  </w:style>
  <w:style w:type="character" w:customStyle="1" w:styleId="ad">
    <w:name w:val="Текст Знак"/>
    <w:basedOn w:val="a1"/>
    <w:rPr>
      <w:rFonts w:ascii="Courier New" w:eastAsia="Times New Roman" w:hAnsi="Courier New" w:cs="Courier New"/>
    </w:rPr>
  </w:style>
  <w:style w:type="character" w:customStyle="1" w:styleId="ae">
    <w:name w:val="Текст сноски Знак"/>
    <w:aliases w:val="Table_Footnote_last Знак Знак1,Table_Footnote_last Знак Знак Знак,Table_Footnote_last Знак1,Footnote Text Char Знак Знак Знак,Footnote Text Char Знак Знак1,Footnote Text Char Знак Знак Знак Знак Знак,Текст сноски Знак1 Знак"/>
    <w:basedOn w:val="a1"/>
    <w:semiHidden/>
    <w:rPr>
      <w:rFonts w:ascii="Times New Roman" w:eastAsia="Times New Roman" w:hAnsi="Times New Roman"/>
    </w:rPr>
  </w:style>
  <w:style w:type="paragraph" w:customStyle="1" w:styleId="txt5">
    <w:name w:val="txt_5"/>
    <w:basedOn w:val="a0"/>
    <w:pPr>
      <w:spacing w:before="100" w:beforeAutospacing="1" w:after="100" w:afterAutospacing="1"/>
    </w:pPr>
  </w:style>
  <w:style w:type="paragraph" w:customStyle="1" w:styleId="af">
    <w:name w:val="вестник"/>
    <w:basedOn w:val="a0"/>
    <w:pPr>
      <w:ind w:firstLine="709"/>
      <w:jc w:val="both"/>
    </w:pPr>
    <w:rPr>
      <w:szCs w:val="20"/>
    </w:rPr>
  </w:style>
  <w:style w:type="paragraph" w:customStyle="1" w:styleId="21">
    <w:name w:val="Текст2"/>
    <w:basedOn w:val="a0"/>
    <w:pPr>
      <w:overflowPunct w:val="0"/>
      <w:autoSpaceDE w:val="0"/>
      <w:autoSpaceDN w:val="0"/>
      <w:adjustRightInd w:val="0"/>
      <w:textAlignment w:val="baseline"/>
    </w:pPr>
    <w:rPr>
      <w:rFonts w:ascii="Courier New" w:hAnsi="Courier New"/>
      <w:sz w:val="20"/>
      <w:szCs w:val="20"/>
    </w:rPr>
  </w:style>
  <w:style w:type="character" w:customStyle="1" w:styleId="af0">
    <w:name w:val="Основной текст с отступом Знак"/>
    <w:basedOn w:val="a1"/>
    <w:semiHidden/>
    <w:rPr>
      <w:rFonts w:ascii="Times New Roman" w:eastAsia="Times New Roman" w:hAnsi="Times New Roman"/>
      <w:b/>
      <w:bCs/>
      <w:color w:val="000000"/>
      <w:spacing w:val="-2"/>
      <w:sz w:val="24"/>
      <w:szCs w:val="24"/>
      <w:shd w:val="clear" w:color="auto" w:fill="FFFFFF"/>
    </w:rPr>
  </w:style>
  <w:style w:type="character" w:customStyle="1" w:styleId="af1">
    <w:name w:val="Название Знак"/>
    <w:basedOn w:val="a1"/>
    <w:rPr>
      <w:rFonts w:ascii="Times New Roman" w:eastAsia="Times New Roman" w:hAnsi="Times New Roman"/>
      <w:b/>
      <w:sz w:val="28"/>
    </w:rPr>
  </w:style>
  <w:style w:type="character" w:customStyle="1" w:styleId="af2">
    <w:name w:val="Основной текст Знак"/>
    <w:basedOn w:val="a1"/>
    <w:rPr>
      <w:rFonts w:ascii="Times New Roman" w:eastAsia="Times New Roman" w:hAnsi="Times New Roman"/>
      <w:sz w:val="24"/>
      <w:szCs w:val="24"/>
    </w:rPr>
  </w:style>
  <w:style w:type="character" w:customStyle="1" w:styleId="22">
    <w:name w:val="Основной текст с отступом 2 Знак"/>
    <w:basedOn w:val="a1"/>
    <w:semiHidden/>
    <w:rPr>
      <w:rFonts w:ascii="Times New Roman" w:eastAsia="Times New Roman" w:hAnsi="Times New Roman"/>
      <w:sz w:val="24"/>
      <w:szCs w:val="24"/>
    </w:rPr>
  </w:style>
  <w:style w:type="paragraph" w:customStyle="1" w:styleId="Style1">
    <w:name w:val="Style1"/>
    <w:basedOn w:val="a0"/>
    <w:pPr>
      <w:widowControl w:val="0"/>
      <w:autoSpaceDE w:val="0"/>
      <w:autoSpaceDN w:val="0"/>
      <w:adjustRightInd w:val="0"/>
    </w:pPr>
  </w:style>
  <w:style w:type="paragraph" w:customStyle="1" w:styleId="Style2">
    <w:name w:val="Style2"/>
    <w:basedOn w:val="a0"/>
    <w:pPr>
      <w:widowControl w:val="0"/>
      <w:autoSpaceDE w:val="0"/>
      <w:autoSpaceDN w:val="0"/>
      <w:adjustRightInd w:val="0"/>
      <w:spacing w:line="465" w:lineRule="exact"/>
      <w:ind w:firstLine="690"/>
      <w:jc w:val="both"/>
    </w:pPr>
  </w:style>
  <w:style w:type="paragraph" w:customStyle="1" w:styleId="Style3">
    <w:name w:val="Style3"/>
    <w:basedOn w:val="a0"/>
    <w:pPr>
      <w:widowControl w:val="0"/>
      <w:autoSpaceDE w:val="0"/>
      <w:autoSpaceDN w:val="0"/>
      <w:adjustRightInd w:val="0"/>
      <w:spacing w:line="471" w:lineRule="exact"/>
      <w:ind w:firstLine="705"/>
      <w:jc w:val="both"/>
    </w:pPr>
  </w:style>
  <w:style w:type="character" w:customStyle="1" w:styleId="FontStyle11">
    <w:name w:val="Font Style11"/>
    <w:basedOn w:val="a1"/>
    <w:rPr>
      <w:rFonts w:ascii="Times New Roman" w:hAnsi="Times New Roman" w:cs="Times New Roman" w:hint="default"/>
      <w:sz w:val="22"/>
      <w:szCs w:val="22"/>
    </w:rPr>
  </w:style>
  <w:style w:type="character" w:customStyle="1" w:styleId="FontStyle12">
    <w:name w:val="Font Style12"/>
    <w:basedOn w:val="a1"/>
    <w:rPr>
      <w:rFonts w:ascii="Times New Roman" w:hAnsi="Times New Roman" w:cs="Times New Roman" w:hint="default"/>
      <w:sz w:val="24"/>
      <w:szCs w:val="24"/>
    </w:rPr>
  </w:style>
  <w:style w:type="character" w:customStyle="1" w:styleId="FontStyle13">
    <w:name w:val="Font Style13"/>
    <w:basedOn w:val="a1"/>
    <w:rPr>
      <w:rFonts w:ascii="Times New Roman" w:hAnsi="Times New Roman" w:cs="Times New Roman" w:hint="default"/>
      <w:sz w:val="24"/>
      <w:szCs w:val="24"/>
    </w:rPr>
  </w:style>
  <w:style w:type="character" w:customStyle="1" w:styleId="FontStyle14">
    <w:name w:val="Font Style14"/>
    <w:basedOn w:val="a1"/>
    <w:rPr>
      <w:rFonts w:ascii="Times New Roman" w:hAnsi="Times New Roman" w:cs="Times New Roman"/>
      <w:sz w:val="24"/>
      <w:szCs w:val="24"/>
    </w:rPr>
  </w:style>
  <w:style w:type="paragraph" w:customStyle="1" w:styleId="af3">
    <w:name w:val="Текст выноски"/>
    <w:basedOn w:val="a0"/>
    <w:semiHidden/>
    <w:unhideWhenUsed/>
    <w:rPr>
      <w:rFonts w:ascii="Tahoma" w:hAnsi="Tahoma" w:cs="Tahoma"/>
      <w:sz w:val="16"/>
      <w:szCs w:val="16"/>
    </w:rPr>
  </w:style>
  <w:style w:type="character" w:customStyle="1" w:styleId="af4">
    <w:name w:val="Текст выноски Знак"/>
    <w:basedOn w:val="a1"/>
    <w:semiHidden/>
    <w:rPr>
      <w:rFonts w:ascii="Tahoma" w:eastAsia="Times New Roman" w:hAnsi="Tahoma" w:cs="Tahoma"/>
      <w:sz w:val="16"/>
      <w:szCs w:val="16"/>
    </w:rPr>
  </w:style>
  <w:style w:type="character" w:customStyle="1" w:styleId="23">
    <w:name w:val="Заголовок 2 Знак"/>
    <w:basedOn w:val="a1"/>
    <w:rPr>
      <w:rFonts w:ascii="Arial" w:eastAsia="Times New Roman" w:hAnsi="Arial" w:cs="Arial"/>
      <w:b/>
      <w:bCs/>
      <w:i/>
      <w:iCs/>
      <w:sz w:val="28"/>
      <w:szCs w:val="28"/>
    </w:rPr>
  </w:style>
  <w:style w:type="character" w:customStyle="1" w:styleId="90">
    <w:name w:val="Заголовок 9 Знак"/>
    <w:basedOn w:val="a1"/>
    <w:rPr>
      <w:rFonts w:ascii="Times New Roman" w:eastAsia="Times New Roman" w:hAnsi="Times New Roman"/>
      <w:sz w:val="28"/>
    </w:rPr>
  </w:style>
  <w:style w:type="character" w:customStyle="1" w:styleId="24">
    <w:name w:val="Основной текст 2 Знак"/>
    <w:basedOn w:val="a1"/>
    <w:rPr>
      <w:rFonts w:ascii="Times New Roman" w:eastAsia="Times New Roman" w:hAnsi="Times New Roman"/>
      <w:sz w:val="24"/>
      <w:szCs w:val="24"/>
    </w:rPr>
  </w:style>
  <w:style w:type="character" w:customStyle="1" w:styleId="af5">
    <w:name w:val="Подзаголовок Знак"/>
    <w:basedOn w:val="a1"/>
    <w:rPr>
      <w:rFonts w:ascii="Times New Roman" w:eastAsia="Times New Roman" w:hAnsi="Times New Roman"/>
      <w:sz w:val="28"/>
    </w:rPr>
  </w:style>
  <w:style w:type="character" w:customStyle="1" w:styleId="30">
    <w:name w:val="Основной текст с отступом 3 Знак"/>
    <w:basedOn w:val="a1"/>
    <w:semiHidden/>
    <w:rPr>
      <w:rFonts w:ascii="Times New Roman" w:eastAsia="Times New Roman" w:hAnsi="Times New Roman"/>
      <w:sz w:val="16"/>
      <w:szCs w:val="16"/>
    </w:rPr>
  </w:style>
  <w:style w:type="character" w:customStyle="1" w:styleId="11">
    <w:name w:val="Заголовок 1 Знак"/>
    <w:basedOn w:val="a1"/>
    <w:rPr>
      <w:rFonts w:ascii="Times New Roman" w:eastAsia="Times New Roman" w:hAnsi="Times New Roman"/>
      <w:b/>
      <w:sz w:val="24"/>
      <w:szCs w:val="24"/>
    </w:rPr>
  </w:style>
  <w:style w:type="character" w:customStyle="1" w:styleId="4">
    <w:name w:val="Заголовок 4 Знак"/>
    <w:basedOn w:val="a1"/>
    <w:rPr>
      <w:rFonts w:ascii="Times New Roman" w:eastAsia="Times New Roman" w:hAnsi="Times New Roman"/>
      <w:b/>
      <w:bCs/>
      <w:sz w:val="28"/>
      <w:szCs w:val="28"/>
    </w:rPr>
  </w:style>
  <w:style w:type="character" w:customStyle="1" w:styleId="af6">
    <w:name w:val="Верхний колонтитул Знак"/>
    <w:basedOn w:val="a1"/>
    <w:rPr>
      <w:rFonts w:ascii="Times New Roman" w:eastAsia="Times New Roman" w:hAnsi="Times New Roman"/>
      <w:sz w:val="24"/>
      <w:szCs w:val="24"/>
    </w:rPr>
  </w:style>
  <w:style w:type="character" w:customStyle="1" w:styleId="af7">
    <w:name w:val="Нижний колонтитул Знак"/>
    <w:basedOn w:val="a1"/>
    <w:rPr>
      <w:rFonts w:ascii="Times New Roman" w:eastAsia="Times New Roman" w:hAnsi="Times New Roman"/>
      <w:sz w:val="24"/>
      <w:szCs w:val="24"/>
    </w:rPr>
  </w:style>
  <w:style w:type="paragraph" w:customStyle="1" w:styleId="ConsPlusNormal">
    <w:name w:val="ConsPlusNormal"/>
    <w:pPr>
      <w:widowControl w:val="0"/>
      <w:autoSpaceDE w:val="0"/>
      <w:autoSpaceDN w:val="0"/>
      <w:adjustRightInd w:val="0"/>
      <w:ind w:firstLine="720"/>
    </w:pPr>
    <w:rPr>
      <w:rFonts w:ascii="Arial" w:hAnsi="Arial" w:cs="Arial"/>
    </w:rPr>
  </w:style>
  <w:style w:type="character" w:customStyle="1" w:styleId="31">
    <w:name w:val="Основной текст 3 Знак"/>
    <w:basedOn w:val="a1"/>
    <w:semiHidden/>
    <w:rPr>
      <w:rFonts w:ascii="Times New Roman" w:eastAsia="Times New Roman" w:hAnsi="Times New Roman"/>
      <w:sz w:val="16"/>
      <w:szCs w:val="16"/>
    </w:rPr>
  </w:style>
  <w:style w:type="paragraph" w:customStyle="1" w:styleId="text-content-page1">
    <w:name w:val="text-content-page1"/>
    <w:basedOn w:val="a0"/>
    <w:pPr>
      <w:spacing w:before="90" w:after="90"/>
      <w:ind w:firstLine="257"/>
      <w:jc w:val="both"/>
    </w:pPr>
    <w:rPr>
      <w:rFonts w:ascii="Arial" w:hAnsi="Arial" w:cs="Arial"/>
      <w:color w:val="000000"/>
      <w:sz w:val="15"/>
      <w:szCs w:val="15"/>
    </w:rPr>
  </w:style>
  <w:style w:type="paragraph" w:customStyle="1" w:styleId="rvps698610">
    <w:name w:val="rvps698610"/>
    <w:basedOn w:val="a0"/>
    <w:pPr>
      <w:spacing w:after="129"/>
      <w:ind w:right="257"/>
    </w:pPr>
    <w:rPr>
      <w:rFonts w:ascii="Arial" w:hAnsi="Arial" w:cs="Arial"/>
      <w:color w:val="000000"/>
      <w:sz w:val="15"/>
      <w:szCs w:val="15"/>
    </w:rPr>
  </w:style>
  <w:style w:type="character" w:customStyle="1" w:styleId="32">
    <w:name w:val="Заголовок 3 Знак"/>
    <w:basedOn w:val="a1"/>
    <w:rPr>
      <w:rFonts w:ascii="Arial" w:eastAsia="Times New Roman" w:hAnsi="Arial" w:cs="Arial"/>
      <w:b/>
      <w:bCs/>
      <w:color w:val="000000"/>
      <w:sz w:val="26"/>
      <w:szCs w:val="26"/>
      <w:lang w:val="en-US"/>
    </w:rPr>
  </w:style>
  <w:style w:type="paragraph" w:customStyle="1" w:styleId="12">
    <w:name w:val="Текст1"/>
    <w:basedOn w:val="a0"/>
    <w:pPr>
      <w:overflowPunct w:val="0"/>
      <w:autoSpaceDE w:val="0"/>
      <w:autoSpaceDN w:val="0"/>
      <w:adjustRightInd w:val="0"/>
      <w:textAlignment w:val="baseline"/>
    </w:pPr>
    <w:rPr>
      <w:rFonts w:ascii="Courier New" w:hAnsi="Courier New"/>
      <w:sz w:val="20"/>
      <w:szCs w:val="20"/>
    </w:rPr>
  </w:style>
  <w:style w:type="character" w:customStyle="1" w:styleId="af8">
    <w:name w:val="Текст концевой сноски Знак"/>
    <w:basedOn w:val="a1"/>
    <w:semiHidden/>
    <w:rPr>
      <w:rFonts w:ascii="Times New Roman" w:eastAsia="Times New Roman" w:hAnsi="Times New Roman"/>
    </w:rPr>
  </w:style>
  <w:style w:type="paragraph" w:customStyle="1" w:styleId="af9">
    <w:name w:val="м"/>
    <w:basedOn w:val="a0"/>
    <w:pPr>
      <w:tabs>
        <w:tab w:val="left" w:pos="900"/>
        <w:tab w:val="num" w:pos="1800"/>
        <w:tab w:val="num" w:pos="2520"/>
      </w:tabs>
      <w:ind w:left="1800" w:firstLine="540"/>
      <w:jc w:val="both"/>
    </w:pPr>
    <w:rPr>
      <w:sz w:val="32"/>
      <w:szCs w:val="32"/>
    </w:rPr>
  </w:style>
  <w:style w:type="paragraph" w:styleId="afa">
    <w:name w:val="Normal (Web)"/>
    <w:basedOn w:val="a0"/>
    <w:semiHidden/>
    <w:pPr>
      <w:spacing w:before="100" w:beforeAutospacing="1" w:after="100" w:afterAutospacing="1"/>
    </w:pPr>
  </w:style>
  <w:style w:type="character" w:styleId="afb">
    <w:name w:val="page number"/>
    <w:basedOn w:val="a1"/>
    <w:semiHidden/>
  </w:style>
  <w:style w:type="paragraph" w:styleId="afc">
    <w:name w:val="header"/>
    <w:basedOn w:val="a0"/>
    <w:semiHidden/>
    <w:pPr>
      <w:tabs>
        <w:tab w:val="center" w:pos="4677"/>
        <w:tab w:val="right" w:pos="9355"/>
      </w:tabs>
    </w:pPr>
  </w:style>
  <w:style w:type="paragraph" w:styleId="afd">
    <w:name w:val="footer"/>
    <w:basedOn w:val="a0"/>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inmark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2704</Words>
  <Characters>15418</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УДК 330</vt:lpstr>
    </vt:vector>
  </TitlesOfParts>
  <Company/>
  <LinksUpToDate>false</LinksUpToDate>
  <CharactersWithSpaces>18086</CharactersWithSpaces>
  <SharedDoc>false</SharedDoc>
  <HLinks>
    <vt:vector size="18" baseType="variant">
      <vt:variant>
        <vt:i4>6750313</vt:i4>
      </vt:variant>
      <vt:variant>
        <vt:i4>6</vt:i4>
      </vt:variant>
      <vt:variant>
        <vt:i4>0</vt:i4>
      </vt:variant>
      <vt:variant>
        <vt:i4>5</vt:i4>
      </vt:variant>
      <vt:variant>
        <vt:lpwstr>http://www.cbr.ru/</vt:lpwstr>
      </vt:variant>
      <vt:variant>
        <vt:lpwstr/>
      </vt:variant>
      <vt:variant>
        <vt:i4>24</vt:i4>
      </vt:variant>
      <vt:variant>
        <vt:i4>3</vt:i4>
      </vt:variant>
      <vt:variant>
        <vt:i4>0</vt:i4>
      </vt:variant>
      <vt:variant>
        <vt:i4>5</vt:i4>
      </vt:variant>
      <vt:variant>
        <vt:lpwstr>http://www.finmarket.ru/</vt:lpwstr>
      </vt:variant>
      <vt:variant>
        <vt:lpwstr/>
      </vt:variant>
      <vt:variant>
        <vt:i4>65556</vt:i4>
      </vt:variant>
      <vt:variant>
        <vt:i4>0</vt:i4>
      </vt:variant>
      <vt:variant>
        <vt:i4>0</vt:i4>
      </vt:variant>
      <vt:variant>
        <vt:i4>5</vt:i4>
      </vt:variant>
      <vt:variant>
        <vt:lpwstr>http://www.finmarket.ru/z/anl/anlsrc.asp?aid=227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330</dc:title>
  <dc:subject/>
  <dc:creator>User</dc:creator>
  <cp:keywords/>
  <dc:description/>
  <cp:lastModifiedBy>Irina</cp:lastModifiedBy>
  <cp:revision>2</cp:revision>
  <dcterms:created xsi:type="dcterms:W3CDTF">2014-07-20T12:42:00Z</dcterms:created>
  <dcterms:modified xsi:type="dcterms:W3CDTF">2014-07-20T12:42:00Z</dcterms:modified>
</cp:coreProperties>
</file>