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473" w:rsidRDefault="00EB2473" w:rsidP="00C5202B">
      <w:pPr>
        <w:pStyle w:val="1"/>
        <w:keepNext/>
        <w:spacing w:before="240" w:beforeAutospacing="0" w:after="60" w:afterAutospacing="0"/>
        <w:jc w:val="center"/>
        <w:rPr>
          <w:i/>
          <w:iCs/>
          <w:sz w:val="40"/>
          <w:szCs w:val="40"/>
        </w:rPr>
      </w:pPr>
    </w:p>
    <w:p w:rsidR="00C5202B" w:rsidRDefault="00C5202B" w:rsidP="00C5202B">
      <w:pPr>
        <w:pStyle w:val="1"/>
        <w:keepNext/>
        <w:spacing w:before="240" w:beforeAutospacing="0" w:after="60" w:afterAutospacing="0"/>
        <w:jc w:val="center"/>
        <w:rPr>
          <w:b w:val="0"/>
          <w:bCs w:val="0"/>
          <w:color w:val="0000FF"/>
        </w:rPr>
      </w:pPr>
      <w:r>
        <w:rPr>
          <w:i/>
          <w:iCs/>
          <w:sz w:val="40"/>
          <w:szCs w:val="40"/>
        </w:rPr>
        <w:t>Организация межбанковских расчетов</w:t>
      </w:r>
    </w:p>
    <w:p w:rsidR="00C5202B" w:rsidRDefault="00C5202B" w:rsidP="00C5202B">
      <w:pPr>
        <w:pStyle w:val="a3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C5202B" w:rsidRDefault="00C5202B" w:rsidP="00C5202B">
      <w:pPr>
        <w:pStyle w:val="a3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C5202B" w:rsidRDefault="00C5202B" w:rsidP="00C5202B">
      <w:pPr>
        <w:pStyle w:val="a3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Межбанковские расчеты — это расчеты, которые осуществляются между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" w:tooltip="Банк" w:history="1">
        <w:r>
          <w:rPr>
            <w:rStyle w:val="a4"/>
            <w:rFonts w:ascii="Arial" w:hAnsi="Arial" w:cs="Arial"/>
            <w:color w:val="0645AD"/>
            <w:sz w:val="20"/>
            <w:szCs w:val="20"/>
          </w:rPr>
          <w:t>банками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на основе корреспондентских отношений, то есть договорными отношения между банками об осуществлении платежей и расчетов одним из них по поручению и за счет другого.</w:t>
      </w:r>
    </w:p>
    <w:p w:rsidR="00C5202B" w:rsidRDefault="00C5202B" w:rsidP="00C5202B">
      <w:pPr>
        <w:pStyle w:val="a3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Корреспондентские отношения между коммерческими банками устанавливаются добровольно, между коммерческими и</w:t>
      </w:r>
      <w:hyperlink r:id="rId5" w:tooltip="Центральный Банк" w:history="1">
        <w:r>
          <w:rPr>
            <w:rStyle w:val="a4"/>
            <w:rFonts w:ascii="Arial" w:hAnsi="Arial" w:cs="Arial"/>
            <w:color w:val="0645AD"/>
            <w:sz w:val="20"/>
            <w:szCs w:val="20"/>
          </w:rPr>
          <w:t>Центральным Банком</w:t>
        </w:r>
      </w:hyperlink>
      <w:r>
        <w:rPr>
          <w:rFonts w:ascii="Arial" w:hAnsi="Arial" w:cs="Arial"/>
          <w:color w:val="000000"/>
          <w:sz w:val="20"/>
          <w:szCs w:val="20"/>
        </w:rPr>
        <w:t> — обязательно. Для проведения расчетных операций каждая конкретная кредитная организация, расположенная на территории РФ и имеющая лицензию банка России на осуществление банковских операций открывает по месту своего нахождения один корреспондентский счет в банке России. Этот счет выполняет те же функции, что и расчетный счет предприятия.</w:t>
      </w:r>
    </w:p>
    <w:p w:rsidR="00C5202B" w:rsidRDefault="00C5202B" w:rsidP="00C5202B">
      <w:pPr>
        <w:jc w:val="center"/>
        <w:rPr>
          <w:color w:val="000000"/>
        </w:rPr>
      </w:pPr>
      <w:r>
        <w:rPr>
          <w:color w:val="000000"/>
        </w:rPr>
        <w:t> </w:t>
      </w:r>
    </w:p>
    <w:tbl>
      <w:tblPr>
        <w:tblW w:w="10206" w:type="dxa"/>
        <w:jc w:val="center"/>
        <w:tblCellSpacing w:w="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9633"/>
      </w:tblGrid>
      <w:tr w:rsidR="00C5202B" w:rsidTr="00C5202B">
        <w:trPr>
          <w:tblCellSpacing w:w="52" w:type="dxa"/>
          <w:jc w:val="center"/>
        </w:trPr>
        <w:tc>
          <w:tcPr>
            <w:tcW w:w="417" w:type="dxa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2B" w:rsidRDefault="00C5202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2B" w:rsidRDefault="00C5202B">
            <w:pPr>
              <w:rPr>
                <w:color w:val="000000"/>
              </w:rPr>
            </w:pPr>
            <w:r>
              <w:rPr>
                <w:color w:val="000000"/>
              </w:rPr>
              <w:t>Основным организатором системы как межбанковских, так и расчетов в народном хозяйстве выступает Центральный банк, за которым закрепляются функции:</w:t>
            </w:r>
          </w:p>
          <w:p w:rsidR="00C5202B" w:rsidRDefault="00C5202B">
            <w:pPr>
              <w:rPr>
                <w:color w:val="000000"/>
              </w:rPr>
            </w:pPr>
            <w:r>
              <w:rPr>
                <w:color w:val="000000"/>
              </w:rPr>
              <w:t>контроля за масштабами безналичного и наличного денежного оборота, объемом денежной эмиссии в наличной и безналичной форме;</w:t>
            </w:r>
          </w:p>
          <w:p w:rsidR="00C5202B" w:rsidRDefault="00C5202B">
            <w:pPr>
              <w:rPr>
                <w:color w:val="000000"/>
              </w:rPr>
            </w:pPr>
            <w:r>
              <w:rPr>
                <w:color w:val="000000"/>
              </w:rPr>
              <w:t>единого расчетного центра страны на единой методологической основе для всех коммерческих банков (включая специализированные);</w:t>
            </w:r>
          </w:p>
          <w:p w:rsidR="00C5202B" w:rsidRDefault="00C5202B">
            <w:pPr>
              <w:rPr>
                <w:color w:val="000000"/>
              </w:rPr>
            </w:pPr>
            <w:r>
              <w:rPr>
                <w:color w:val="000000"/>
              </w:rPr>
              <w:t>унификации и установления правил расчетов, порядка ведения учета и отчетности.</w:t>
            </w:r>
          </w:p>
          <w:p w:rsidR="00C5202B" w:rsidRDefault="00C5202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Основополагающим принципом организации системы межбанковских расчетов является формирование двух самостоятельных подсистем:</w:t>
            </w:r>
          </w:p>
          <w:p w:rsidR="00C5202B" w:rsidRDefault="00C5202B">
            <w:pPr>
              <w:rPr>
                <w:color w:val="000000"/>
              </w:rPr>
            </w:pPr>
            <w:r>
              <w:rPr>
                <w:color w:val="000000"/>
              </w:rPr>
              <w:t>а)         прямых расчетов между коммерческими банками;</w:t>
            </w:r>
          </w:p>
          <w:p w:rsidR="00C5202B" w:rsidRDefault="00C5202B">
            <w:pPr>
              <w:rPr>
                <w:color w:val="000000"/>
              </w:rPr>
            </w:pPr>
            <w:r>
              <w:rPr>
                <w:color w:val="000000"/>
              </w:rPr>
              <w:t>б)         межбанковских расчетов через систему корреспондентских счетов, открываемых в структурных подразделениях Центрального банка.</w:t>
            </w:r>
          </w:p>
          <w:p w:rsidR="00C5202B" w:rsidRDefault="00C5202B">
            <w:pPr>
              <w:rPr>
                <w:color w:val="000000"/>
              </w:rPr>
            </w:pPr>
            <w:r>
              <w:rPr>
                <w:color w:val="000000"/>
              </w:rPr>
              <w:t>Коммерческим банкам предоставлено право самостоятельно определять порядок расчетов между своими подведомственными учреждениями, а система безналичных расчетов строится таким образом, что дает банкам и их клиентам возможность выбора конкретных путей совершения той или иной расчетной операции.</w:t>
            </w:r>
          </w:p>
          <w:p w:rsidR="00C5202B" w:rsidRDefault="00C5202B">
            <w:pPr>
              <w:rPr>
                <w:color w:val="000000"/>
              </w:rPr>
            </w:pPr>
            <w:r>
              <w:rPr>
                <w:color w:val="000000"/>
              </w:rPr>
              <w:t>Организация безналичных расчетов осуществляется либо по централизованной, либо по децентрализованной схеме. Децентрализованные корреспондентские счета, которыми являются счета "Loro-Nostro"1, коммерческие банки используют для прямых расчетов с постоянными корреспондентами по операциям клиентов, имеющих, как правило, стабильные связи.</w:t>
            </w:r>
          </w:p>
          <w:p w:rsidR="00C5202B" w:rsidRDefault="00C5202B">
            <w:pPr>
              <w:rPr>
                <w:color w:val="000000"/>
              </w:rPr>
            </w:pPr>
            <w:r>
              <w:rPr>
                <w:color w:val="000000"/>
              </w:rPr>
              <w:t>Развитие прямых межбанковских корреспондентских связей, с одной стороны, сократит время документооборота, поскольку обмен платежными документами между банками происходит напрямую, минуя промежуточные учреждения банковской системы. С другой — усилит процессы саморегуляции и самоконтроля на микроуровне, повысит качество осуществления расчетов ввиду материальной заинтересованности контрагентов в точности взаимных платежей.</w:t>
            </w:r>
          </w:p>
          <w:p w:rsidR="00C5202B" w:rsidRDefault="00C5202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расчетов через централизованные корреспондентские счета, открываемые коммерческими банками в Центральном банке, в мировой практике имеет место либо в обычном расширенном (осуществление всех операций в полной сумме в пределах кредитового остатка средств на счете), либо в клиринговом режиме (взаимный зачет встречных потоков платежей и поступлений с отражением на счете только сальдовых оборотов). Система функционирования клиринговых корреспондентских счетов является более гибкой, поскольку сокращает платежный оборот по количеству и сумме операций и допускает возможность образования на них "дебетового сальдо", т.е. предоставление по мере необходимости Центральным</w:t>
            </w:r>
            <w:r>
              <w:rPr>
                <w:rStyle w:val="apple-converted-space"/>
                <w:color w:val="000000"/>
              </w:rPr>
              <w:t> </w:t>
            </w:r>
            <w:hyperlink r:id="rId6" w:tgtFrame="_blank" w:history="1">
              <w:r>
                <w:rPr>
                  <w:rStyle w:val="a4"/>
                  <w:u w:val="none"/>
                </w:rPr>
                <w:t>банком кредита</w:t>
              </w:r>
            </w:hyperlink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("овердрафт"). Кроме того, централизованные корреспондентские счета во многих странах одновременно представляют собой резервные счета, остатки средств на которых составляют часть минимальных резервов.</w:t>
            </w:r>
          </w:p>
        </w:tc>
      </w:tr>
    </w:tbl>
    <w:p w:rsidR="00C5202B" w:rsidRDefault="00C5202B" w:rsidP="00C5202B">
      <w:pPr>
        <w:rPr>
          <w:color w:val="000000"/>
        </w:rPr>
      </w:pPr>
      <w:r>
        <w:rPr>
          <w:color w:val="000000"/>
        </w:rPr>
        <w:t>Система централизованных межбанковских расчетов организуется Центральным эмиссионным банком, так как расчетные операции по переводу денежных средств между банками производятся посредством резервно-корреспондентских счетов, открываемых в структурных подразделениях Центрального банка. По корреспондентским счетам, отражающимся в VII разделе банковского баланса на бухгалтерском счете № 16 (нумерация счетов второго порядка дифференцирована по банкам), открываются отдельные лицевые счета каждому коммерческому банку.</w:t>
      </w:r>
    </w:p>
    <w:p w:rsidR="00C5202B" w:rsidRDefault="00C5202B" w:rsidP="00C5202B">
      <w:pPr>
        <w:rPr>
          <w:color w:val="000000"/>
        </w:rPr>
      </w:pPr>
      <w:r>
        <w:rPr>
          <w:color w:val="000000"/>
        </w:rPr>
        <w:t>Все банки производят свои расчеты в пределах кредитового сальдо на резервно-корреспондентском счете, т.е. за счет финансовых средств, реально существующих в момент совершения расчетной операции. Размеры кредитового сальдо должны соответствовать утверждаемому Центральным банком нормативу резервных требований (определенной доле привлеченных средств). Периодичность проверки выполнения соблюдения коммерческими банками указанного норматива устанавливается Центральным банком.</w:t>
      </w:r>
    </w:p>
    <w:p w:rsidR="00C5202B" w:rsidRDefault="00C5202B" w:rsidP="00C5202B">
      <w:pPr>
        <w:rPr>
          <w:color w:val="000000"/>
        </w:rPr>
      </w:pPr>
      <w:r>
        <w:rPr>
          <w:b/>
          <w:bCs/>
          <w:color w:val="000000"/>
        </w:rPr>
        <w:t> </w:t>
      </w:r>
    </w:p>
    <w:p w:rsidR="00C5202B" w:rsidRDefault="00C5202B" w:rsidP="00C5202B">
      <w:pPr>
        <w:rPr>
          <w:color w:val="000000"/>
        </w:rPr>
      </w:pPr>
      <w:r>
        <w:rPr>
          <w:b/>
          <w:bCs/>
          <w:color w:val="000000"/>
        </w:rPr>
        <w:t>Отечественный опыт совершенствования системы расчетов</w:t>
      </w:r>
    </w:p>
    <w:p w:rsidR="00C5202B" w:rsidRDefault="00C5202B" w:rsidP="00C5202B">
      <w:pPr>
        <w:rPr>
          <w:color w:val="000000"/>
        </w:rPr>
      </w:pPr>
      <w:r>
        <w:rPr>
          <w:color w:val="000000"/>
        </w:rPr>
        <w:t>В нашей стране в настоящее время действуют две альтернативные системы организации межбанковских расчетов: через систему МФО (межфилиальных оборотов) и корреспондентских отношений банков.</w:t>
      </w:r>
    </w:p>
    <w:p w:rsidR="00C5202B" w:rsidRDefault="00C5202B" w:rsidP="00C5202B">
      <w:pPr>
        <w:rPr>
          <w:color w:val="000000"/>
        </w:rPr>
      </w:pPr>
      <w:r>
        <w:rPr>
          <w:color w:val="000000"/>
        </w:rPr>
        <w:t xml:space="preserve">До реорганизации банковской системы в </w:t>
      </w:r>
      <w:smartTag w:uri="urn:schemas-microsoft-com:office:smarttags" w:element="metricconverter">
        <w:smartTagPr>
          <w:attr w:name="ProductID" w:val="1988 г"/>
        </w:smartTagPr>
        <w:r>
          <w:rPr>
            <w:color w:val="000000"/>
          </w:rPr>
          <w:t>1988 г</w:t>
        </w:r>
      </w:smartTag>
      <w:r>
        <w:rPr>
          <w:color w:val="000000"/>
        </w:rPr>
        <w:t>. расчеты между учреждениями банков производились через систему межфилиальных оборотов (МФО) одного банка — Госбанка СССР. Перевод денежных средств осуществлялся на основании расчетных документов клиентов из одного учреждения Госбанка СССР в другое. Правильность сделанных переводных операций проверялась кустовыми вычислительными центрами, контролировавшими расчеты, произведенные между учреждениями Госбанка одного куста, а расчеты между учреждениями Госбанка СССР разных кустов контролировались Главным вычислительным центром Госбанка СССР. Так как Внешторгбанк СССР входил в систему Госбанка СССР, то через систему МФО Госбанка СССР проводились расчеты Внешторгбанка СССР и его учреждений.</w:t>
      </w:r>
    </w:p>
    <w:p w:rsidR="00C5202B" w:rsidRDefault="00C5202B" w:rsidP="00C5202B">
      <w:pPr>
        <w:rPr>
          <w:color w:val="000000"/>
        </w:rPr>
      </w:pPr>
      <w:r>
        <w:rPr>
          <w:color w:val="000000"/>
        </w:rPr>
        <w:t>Руководство расчетами в народном хозяйстве осуществлялось из единого центра — Госбанка СССР, действовала единая методология, которой строго следовали все учреждения Госбанка СССР.</w:t>
      </w:r>
    </w:p>
    <w:p w:rsidR="00C5202B" w:rsidRDefault="00C5202B" w:rsidP="00C5202B">
      <w:pPr>
        <w:rPr>
          <w:color w:val="000000"/>
        </w:rPr>
      </w:pPr>
      <w:r>
        <w:rPr>
          <w:color w:val="000000"/>
        </w:rPr>
        <w:t>Для успешного функционирования системы расчетов через МФО требовалось соблюдение дисциплины при совершении операций, своевременная проводка по счетам в банке документов клиентов и отсылка отчетности учреждениями банка (о начальных МФО) контролирующему кустовому вычислительному центру, обработка отчетности и составление табуляграмм вычислительным центром, проводка их по балансу учреждения банка. В случае сбоя в расчетах своевременно должны были делаться запросы учреждений банка или вычислительных центров и по ним также своевременно приходить ответы.</w:t>
      </w:r>
    </w:p>
    <w:p w:rsidR="00C5202B" w:rsidRDefault="00C5202B" w:rsidP="00C5202B">
      <w:pPr>
        <w:rPr>
          <w:color w:val="000000"/>
        </w:rPr>
      </w:pPr>
      <w:r>
        <w:rPr>
          <w:color w:val="000000"/>
        </w:rPr>
        <w:t xml:space="preserve">Данная система расчетов действовала с </w:t>
      </w:r>
      <w:smartTag w:uri="urn:schemas-microsoft-com:office:smarttags" w:element="metricconverter">
        <w:smartTagPr>
          <w:attr w:name="ProductID" w:val="1933 г"/>
        </w:smartTagPr>
        <w:r>
          <w:rPr>
            <w:color w:val="000000"/>
          </w:rPr>
          <w:t>1933 г</w:t>
        </w:r>
      </w:smartTag>
      <w:r>
        <w:rPr>
          <w:color w:val="000000"/>
        </w:rPr>
        <w:t>. При этом денежные средства переводились из одного учреждения Госбанка СССР в другое на основе расчетных документов клиентов, а учет взаимных требований и обязательств учреждений Госбанка происходил на одном балансе вышестоящего (областного, республиканского и союзного) звена.</w:t>
      </w:r>
    </w:p>
    <w:p w:rsidR="00C5202B" w:rsidRDefault="00C5202B" w:rsidP="00C5202B">
      <w:pPr>
        <w:rPr>
          <w:color w:val="000000"/>
        </w:rPr>
      </w:pPr>
      <w:r>
        <w:rPr>
          <w:color w:val="000000"/>
        </w:rPr>
        <w:t>Через систему МФО проводились расчеты Госбанка СССР и Внешторгбанка СССР. Учреждения Стройбанка СССР и Гострудс-беркассы СССР расчеты в рамках своей системы проводили без использования МФО, в то время как их расчеты с учреждениями Госбанка СССР осуществлялись посредством корреспондентских счетов, открытых в учреждении Госбанка по месту нахождения учреждения Стройбанка или Центральной сберегательной кассы. Операции по корреспондентским счетам учреждений Стройбанка и Центральной сберегательной кассы проводились в учреждениях Госбанка независимо от наличия средств на этих счетах. Контроль за тем, чтобы расчеты по корреспондентским счетам совершались в пределах остатка средств, проводился централизованно по балансу Госбанка в целом, по Стройбанку и Правлению Гострудсберкасс.</w:t>
      </w:r>
    </w:p>
    <w:p w:rsidR="00C5202B" w:rsidRDefault="00C5202B" w:rsidP="00C5202B">
      <w:pPr>
        <w:rPr>
          <w:color w:val="000000"/>
        </w:rPr>
      </w:pPr>
      <w:r>
        <w:rPr>
          <w:color w:val="000000"/>
        </w:rPr>
        <w:t>С трансформацией части отделений Госбанка и Стройбанка в государственные спецбанки, созданием первых паевых коммерческих банков все учреждения Госбанка СССР (республиканские, областные, краевые управления), спецбанков СССР, а также несколько коммерческих банков (Тартуский коммерческий банк, Авто-ВАЗбанк, АМБИ и др.) были включены в систему МФО. Средства от одного учреждения банка в другое переводились независимо от ведомственной подчиненности. Контроль МФО осуществлялся не-</w:t>
      </w:r>
    </w:p>
    <w:p w:rsidR="00C5202B" w:rsidRDefault="00C5202B" w:rsidP="00C5202B">
      <w:pPr>
        <w:rPr>
          <w:color w:val="000000"/>
        </w:rPr>
      </w:pPr>
      <w:r>
        <w:rPr>
          <w:color w:val="000000"/>
        </w:rPr>
        <w:t> зависимо от принадлежности банковского учреждения к конкретному спецбанку.</w:t>
      </w:r>
    </w:p>
    <w:p w:rsidR="00C5202B" w:rsidRDefault="00C5202B" w:rsidP="00C5202B">
      <w:pPr>
        <w:rPr>
          <w:color w:val="000000"/>
        </w:rPr>
      </w:pPr>
      <w:r>
        <w:rPr>
          <w:color w:val="000000"/>
        </w:rPr>
        <w:t>Соответственно был утрачен основополагающий принцип бесперебойной и эффективной работы системы МФО — централизованное регулирование расчетов в народном хозяйстве из единого центра. Руководство межфилиальными расчетами стало осуществляться наряду с Госбанком СССР и государственными специализированными банками на равных основаниях.</w:t>
      </w:r>
    </w:p>
    <w:p w:rsidR="00C5202B" w:rsidRDefault="00C5202B" w:rsidP="00C5202B">
      <w:pPr>
        <w:rPr>
          <w:color w:val="000000"/>
        </w:rPr>
      </w:pPr>
      <w:r>
        <w:rPr>
          <w:color w:val="000000"/>
        </w:rPr>
        <w:t>Автоматическое включение в систему МФО спецбанков, отражающих свои операции с клиентурой на самостоятельных балансах, обеспечило банкам беспрепятственный доступ к средствам, учитываемым на балансе другого банка. Существенно возросли масштабы зачисления средств на счетах получателей за счет создания банком на своем балансе дебиторской задолженности банков-корреспондентов, значительно увеличились неурегулированные суммы расчетов.</w:t>
      </w:r>
    </w:p>
    <w:p w:rsidR="00C5202B" w:rsidRDefault="00C5202B" w:rsidP="00C5202B">
      <w:pPr>
        <w:rPr>
          <w:color w:val="000000"/>
        </w:rPr>
      </w:pPr>
      <w:r>
        <w:rPr>
          <w:color w:val="000000"/>
        </w:rPr>
        <w:t>Расчеты банков в основном через счета МФО, учет по которым производится без увязки с фактически имеющимися у банков средствами, отличаются следующим. Если при перечислении средств на резервный счет в Центральном банке (дебетуемый счет, на который поступают средства) через корреспондентский счет (кредитуемый счет, с которого производится платеж) происходит реальное списание денег с одного счета и их зачисление на другой, то при расчетах через систему МФО кредитуется счет МФО, т.е. производится только формальная бухгалтерская запись, не отражающая движение реальных денежных средств в коммерческом банке: Д сч. 816 "Средства, перечисленные спецбанками в фонд регулирования кредитных ресурсов" = К сч. "МФО"; в Центральном банке: Д сч. "МФО" = К сч. 815 "Фонд регулирования кредитных ресурсов банковской системы".</w:t>
      </w:r>
    </w:p>
    <w:p w:rsidR="00C5202B" w:rsidRDefault="00C5202B" w:rsidP="00C5202B">
      <w:pPr>
        <w:rPr>
          <w:color w:val="000000"/>
        </w:rPr>
      </w:pPr>
      <w:r>
        <w:rPr>
          <w:color w:val="000000"/>
        </w:rPr>
        <w:t>Формальность расчетов между банками посредством системы счетов МФО позволяла им беспрепятственно производить экспансию</w:t>
      </w:r>
      <w:r>
        <w:rPr>
          <w:rStyle w:val="apple-converted-space"/>
          <w:color w:val="000000"/>
        </w:rPr>
        <w:t> </w:t>
      </w:r>
      <w:hyperlink r:id="rId7" w:tgtFrame="_blank" w:history="1">
        <w:r>
          <w:rPr>
            <w:rStyle w:val="a4"/>
            <w:u w:val="none"/>
          </w:rPr>
          <w:t>депозитов</w:t>
        </w:r>
      </w:hyperlink>
      <w:r>
        <w:rPr>
          <w:color w:val="000000"/>
        </w:rPr>
        <w:t>, способствовала углублению инфляционных тенденций в экономике. А параллельная аккумуляция части депозитов на резервном счете в Центральном банке не являлась сдерживающим фактором кредитно-депозитной экспансии, поскольку данный экономический инструмент не может быть действенным в условиях осуществления коммерческими банками активных операций безотносительно объемов реально имеющихся у них средств. Если</w:t>
      </w:r>
      <w:r>
        <w:rPr>
          <w:rStyle w:val="apple-converted-space"/>
          <w:color w:val="000000"/>
        </w:rPr>
        <w:t> </w:t>
      </w:r>
      <w:hyperlink r:id="rId8" w:tgtFrame="_blank" w:history="1">
        <w:r>
          <w:rPr>
            <w:rStyle w:val="a4"/>
            <w:u w:val="none"/>
          </w:rPr>
          <w:t>ссудные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и другие доходные вложения коммерческих банков при расчетах через корреспондентские счета производятся в пределах фактических остатков средств на счете, то имеют место процессы саморегуляции на микроуровне и, следовательно, используемые в ходе макроуправления косвенные методы являются эффективными. Что же касается ограничения кредитной эмиссии при сохранении счетов МФО, то оно, напротив, может быть достиг-</w:t>
      </w:r>
    </w:p>
    <w:p w:rsidR="00C5202B" w:rsidRDefault="00C5202B" w:rsidP="00C5202B">
      <w:pPr>
        <w:rPr>
          <w:color w:val="000000"/>
        </w:rPr>
      </w:pPr>
      <w:r>
        <w:rPr>
          <w:color w:val="000000"/>
        </w:rPr>
        <w:t>нуто только прямыми административными методами, а именно установлением кредитных потолков или лимитов кредитных ресурсов.</w:t>
      </w:r>
    </w:p>
    <w:p w:rsidR="00C5202B" w:rsidRDefault="00C5202B" w:rsidP="00C5202B">
      <w:pPr>
        <w:rPr>
          <w:color w:val="000000"/>
        </w:rPr>
      </w:pPr>
      <w:r>
        <w:rPr>
          <w:color w:val="000000"/>
        </w:rPr>
        <w:t>В России для эффективного применения Центральным банком косвенных инструментов регулирования банковской деятельности необходим повсеместный переход и развитие расчетов через корреспондентские счета, причем как по централизованной, так и по децентрализованной схеме.</w:t>
      </w:r>
    </w:p>
    <w:p w:rsidR="00C5202B" w:rsidRDefault="00C5202B" w:rsidP="00C5202B">
      <w:pPr>
        <w:rPr>
          <w:color w:val="000000"/>
        </w:rPr>
      </w:pPr>
      <w:r>
        <w:rPr>
          <w:color w:val="000000"/>
        </w:rPr>
        <w:t>В настоящее время реорганизация системы расчетов в стране происходит по двум основным направлениям:</w:t>
      </w:r>
    </w:p>
    <w:p w:rsidR="00C5202B" w:rsidRDefault="00C5202B" w:rsidP="00C5202B">
      <w:pPr>
        <w:rPr>
          <w:color w:val="000000"/>
        </w:rPr>
      </w:pPr>
      <w:r>
        <w:rPr>
          <w:color w:val="000000"/>
        </w:rPr>
        <w:t>1)         введение новых и совершенствование действующих форм</w:t>
      </w:r>
    </w:p>
    <w:p w:rsidR="00C5202B" w:rsidRDefault="00C5202B" w:rsidP="00C5202B">
      <w:pPr>
        <w:rPr>
          <w:color w:val="000000"/>
        </w:rPr>
      </w:pPr>
      <w:r>
        <w:rPr>
          <w:color w:val="000000"/>
        </w:rPr>
        <w:t>расчетов юридических и физических лиц;</w:t>
      </w:r>
    </w:p>
    <w:p w:rsidR="00C5202B" w:rsidRDefault="00C5202B" w:rsidP="00C5202B">
      <w:pPr>
        <w:rPr>
          <w:color w:val="000000"/>
        </w:rPr>
      </w:pPr>
      <w:r>
        <w:rPr>
          <w:color w:val="000000"/>
        </w:rPr>
        <w:t>2)         реорганизация системы межбанковских расчетов.</w:t>
      </w:r>
    </w:p>
    <w:p w:rsidR="00C5202B" w:rsidRDefault="00C5202B" w:rsidP="00C5202B">
      <w:pPr>
        <w:rPr>
          <w:color w:val="000000"/>
        </w:rPr>
      </w:pPr>
      <w:r>
        <w:rPr>
          <w:color w:val="000000"/>
        </w:rPr>
        <w:t>Что касается совершенствования действующих форм расчетов в народном хозяйстве, то основной акцент делается на развитие расчетов чеками как наиболее гибкой формы расчетов. Реорганизация системы межбанковских расчетов идет по пути развития системы прямых корреспондентских отношений и полного перехода к системе межбанковских расчетов по корреспондентским счетам.</w:t>
      </w:r>
    </w:p>
    <w:p w:rsidR="00E4421C" w:rsidRDefault="00E4421C">
      <w:bookmarkStart w:id="0" w:name="_GoBack"/>
      <w:bookmarkEnd w:id="0"/>
    </w:p>
    <w:sectPr w:rsidR="00E44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02B"/>
    <w:rsid w:val="00250E8D"/>
    <w:rsid w:val="00761511"/>
    <w:rsid w:val="00C2237C"/>
    <w:rsid w:val="00C5202B"/>
    <w:rsid w:val="00E4421C"/>
    <w:rsid w:val="00EB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5BC53-7B7E-42EA-B085-88E6AFB0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520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202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202B"/>
  </w:style>
  <w:style w:type="character" w:styleId="a4">
    <w:name w:val="Hyperlink"/>
    <w:basedOn w:val="a0"/>
    <w:rsid w:val="00C52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2.begun.ru/click.jsp?url=O5t5NGBramuRfj*z7-iShqth1ojtoDUybVF7hpBcHXxAYzJ8RvMTUCl1I-GR9A1OIiGSAfgOKqmCXukLlHXA623HfwFHdCAB5OFLuDgb7PsBHaPSUqJv5F5eT0SIc2aqKzs2l1qTqrRoL7Za3LJCLIDkXI39yAyvwvP21p*hjuKdRrckWMa*L4FfKARIABCEuJW9G9TfKs1*odo1NCuRL492uwwDAzZGcX690nc3XzRaPqpuSJXvDOR-JJWSTHnnrtwAaaoO6B3vsT2TGZTFE6MV4M5m8eEzwCu6pxwgJtUi9F2kIE-Kk8RK73HG0oH9Zd9qoIsXJiMBebMvAFbNaagmSpQyHTM6pid5feUt8kC949OHy4npgKWzPGnI9ELHQ4dcseFeZo28pm2Dvz4e9cUkckKH8La1dp1YcUNHxh3hrVgzJjXv*xDZHUYr*wYHTQD9kuF3vtB2Boi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lick02.begun.ru/click.jsp?url=O5t5NEBMTUzpaYPvs6TO2vc9itSgDhGU4wUf4-e8vMSerbHCV0wd9J*CfQI59mlv-MqwdCDoiO6GK60Qz2Ph4QoWXt8IjsTqM2foaezIQ99EIj0jov9ubxN9hv0h1p7Ay*xTg6K8m8u2YqzKdIi1p4qvZ3iwzPmBNOAOAWBbu75aN5MBfHrHPx5F4naIv8sUpNPH7x4vnMKSwbX5SvPLmXcv72c-TOqqPEb*gNjbV3PbrtuyB-oK5D2VIebASwO8AkFDN8rJnSwZ5*lQSSeN8z7hvzN3UNWlK5lK9jYJtsDuJUriFvTKqP7wE7U8LCAKRhDzM*APGnKZBiMda805ixE83JvUWbNgldfEXujTIdxpaJZhVV*1e2zXwPu55ncr3g7U2sxA0j9oaxtHqXjuo2VC9GvYAZuJ4Rs4dUbwkxZm178C5lnV1wxsv-cJmN3PZVZo3KOrGEstX1esinXA22KVcO3rYDsjIwpd-7OmtshOJIQ*b*0*TrlusvjQ9rI0Zjzl0IugLIfmXzyWxgWdSbRTKY8zoAMRG4eXdGQJWSw66mDE42-bJa-jvnmdQZAv2R4t4TtCowtbEgg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ck02.begun.ru/click.jsp?url=O5t5NCAmJyZRbtMybnkTByrgVwn67QM8zh*fmXt4MDEMAfL4JB-sxI4894Z55o-*9Ky-d91uyGMHy3Yqo3wpn32Sv3qkMr*Q4FO64my1k*8fmob9FajxCb*b-daf6CWJDY17cQ54aEOb-RE5rqKAuBAVrnCwJvU6Xgp5lq4FL16iDv2aNrDk-PYofO8ahnq3BbGSlwlGRP-HTRtZOrdRrantvTGEoPgfPLw5cIT3U3PdxlwEUNtw9lZTvm2NdyJJ5UPfksdDadklUL-QFWIkJ*QPyuPR1VSPUx-qgZSHXUmCS4-UuWmUld*SbwBz5SxC5JQaOA" TargetMode="External"/><Relationship Id="rId5" Type="http://schemas.openxmlformats.org/officeDocument/2006/relationships/hyperlink" Target="http://ru.wikipedia.org/wiki/%D0%A6%D0%B5%D0%BD%D1%82%D1%80%D0%B0%D0%BB%D1%8C%D0%BD%D1%8B%D0%B9_%D0%91%D0%B0%D0%BD%D0%B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u.wikipedia.org/wiki/%D0%91%D0%B0%D0%BD%D0%B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13195</CharactersWithSpaces>
  <SharedDoc>false</SharedDoc>
  <HLinks>
    <vt:vector size="30" baseType="variant">
      <vt:variant>
        <vt:i4>2359418</vt:i4>
      </vt:variant>
      <vt:variant>
        <vt:i4>12</vt:i4>
      </vt:variant>
      <vt:variant>
        <vt:i4>0</vt:i4>
      </vt:variant>
      <vt:variant>
        <vt:i4>5</vt:i4>
      </vt:variant>
      <vt:variant>
        <vt:lpwstr>http://click02.begun.ru/click.jsp?url=O5t5NGBramuRfj*z7-iShqth1ojtoDUybVF7hpBcHXxAYzJ8RvMTUCl1I-GR9A1OIiGSAfgOKqmCXukLlHXA623HfwFHdCAB5OFLuDgb7PsBHaPSUqJv5F5eT0SIc2aqKzs2l1qTqrRoL7Za3LJCLIDkXI39yAyvwvP21p*hjuKdRrckWMa*L4FfKARIABCEuJW9G9TfKs1*odo1NCuRL492uwwDAzZGcX690nc3XzRaPqpuSJXvDOR-JJWSTHnnrtwAaaoO6B3vsT2TGZTFE6MV4M5m8eEzwCu6pxwgJtUi9F2kIE-Kk8RK73HG0oH9Zd9qoIsXJiMBebMvAFbNaagmSpQyHTM6pid5feUt8kC949OHy4npgKWzPGnI9ELHQ4dcseFeZo28pm2Dvz4e9cUkckKH8La1dp1YcUNHxh3hrVgzJjXv*xDZHUYr*wYHTQD9kuF3vtB2Boiq</vt:lpwstr>
      </vt:variant>
      <vt:variant>
        <vt:lpwstr/>
      </vt:variant>
      <vt:variant>
        <vt:i4>3801143</vt:i4>
      </vt:variant>
      <vt:variant>
        <vt:i4>9</vt:i4>
      </vt:variant>
      <vt:variant>
        <vt:i4>0</vt:i4>
      </vt:variant>
      <vt:variant>
        <vt:i4>5</vt:i4>
      </vt:variant>
      <vt:variant>
        <vt:lpwstr>http://click02.begun.ru/click.jsp?url=O5t5NEBMTUzpaYPvs6TO2vc9itSgDhGU4wUf4-e8vMSerbHCV0wd9J*CfQI59mlv-MqwdCDoiO6GK60Qz2Ph4QoWXt8IjsTqM2foaezIQ99EIj0jov9ubxN9hv0h1p7Ay*xTg6K8m8u2YqzKdIi1p4qvZ3iwzPmBNOAOAWBbu75aN5MBfHrHPx5F4naIv8sUpNPH7x4vnMKSwbX5SvPLmXcv72c-TOqqPEb*gNjbV3PbrtuyB-oK5D2VIebASwO8AkFDN8rJnSwZ5*lQSSeN8z7hvzN3UNWlK5lK9jYJtsDuJUriFvTKqP7wE7U8LCAKRhDzM*APGnKZBiMda805ixE83JvUWbNgldfEXujTIdxpaJZhVV*1e2zXwPu55ncr3g7U2sxA0j9oaxtHqXjuo2VC9GvYAZuJ4Rs4dUbwkxZm178C5lnV1wxsv-cJmN3PZVZo3KOrGEstX1esinXA22KVcO3r</vt:lpwstr>
      </vt:variant>
      <vt:variant>
        <vt:lpwstr/>
      </vt:variant>
      <vt:variant>
        <vt:i4>2293812</vt:i4>
      </vt:variant>
      <vt:variant>
        <vt:i4>6</vt:i4>
      </vt:variant>
      <vt:variant>
        <vt:i4>0</vt:i4>
      </vt:variant>
      <vt:variant>
        <vt:i4>5</vt:i4>
      </vt:variant>
      <vt:variant>
        <vt:lpwstr>http://click02.begun.ru/click.jsp?url=O5t5NCAmJyZRbtMybnkTByrgVwn67QM8zh*fmXt4MDEMAfL4JB-sxI4894Z55o-*9Ky-d91uyGMHy3Yqo3wpn32Sv3qkMr*Q4FO64my1k*8fmob9FajxCb*b-daf6CWJDY17cQ54aEOb-RE5rqKAuBAVrnCwJvU6Xgp5lq4FL16iDv2aNrDk-PYofO8ahnq3BbGSlwlGRP-HTRtZOrdRrantvTGEoPgfPLw5cIT3U3PdxlwEUNtw9lZTvm2NdyJJ5UPfksdDadklUL-QFWIkJ*QPyuPR1VSPUx-qgZSHXUmCS4-UuWmUld*SbwBz5SxC5JQaOA</vt:lpwstr>
      </vt:variant>
      <vt:variant>
        <vt:lpwstr/>
      </vt:variant>
      <vt:variant>
        <vt:i4>2555999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http://ru.wikipedia.org/wiki/%D0%A6%D0%B5%D0%BD%D1%82%D1%80%D0%B0%D0%BB%D1%8C%D0%BD%D1%8B%D0%B9_%D0%91%D0%B0%D0%BD%D0%BA</vt:lpwstr>
      </vt:variant>
      <vt:variant>
        <vt:lpwstr/>
      </vt:variant>
      <vt:variant>
        <vt:i4>5439563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http://ru.wikipedia.org/wiki/%D0%91%D0%B0%D0%BD%D0%BA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dcterms:created xsi:type="dcterms:W3CDTF">2014-04-23T00:48:00Z</dcterms:created>
  <dcterms:modified xsi:type="dcterms:W3CDTF">2014-04-23T00:48:00Z</dcterms:modified>
</cp:coreProperties>
</file>