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576" w:rsidRDefault="00BB2576" w:rsidP="00BB2576">
      <w:pPr>
        <w:pStyle w:val="a3"/>
        <w:rPr>
          <w:i/>
          <w:sz w:val="28"/>
          <w:szCs w:val="28"/>
        </w:rPr>
      </w:pPr>
      <w:r>
        <w:rPr>
          <w:i/>
          <w:sz w:val="28"/>
          <w:szCs w:val="28"/>
        </w:rPr>
        <w:t>Методические рекомендации</w:t>
      </w:r>
    </w:p>
    <w:p w:rsidR="00BB2576" w:rsidRDefault="00BB2576" w:rsidP="00BB2576">
      <w:pPr>
        <w:pStyle w:val="a3"/>
        <w:rPr>
          <w:i/>
          <w:sz w:val="28"/>
          <w:szCs w:val="28"/>
        </w:rPr>
      </w:pPr>
      <w:r>
        <w:rPr>
          <w:i/>
          <w:sz w:val="28"/>
          <w:szCs w:val="28"/>
        </w:rPr>
        <w:t>по подготовке СРС и СРСП</w:t>
      </w:r>
    </w:p>
    <w:p w:rsidR="00BB2576" w:rsidRDefault="00BB2576" w:rsidP="00BB2576">
      <w:pPr>
        <w:pStyle w:val="a3"/>
        <w:rPr>
          <w:i/>
          <w:sz w:val="28"/>
          <w:szCs w:val="28"/>
        </w:rPr>
      </w:pPr>
    </w:p>
    <w:p w:rsidR="00BB2576" w:rsidRDefault="00BB2576" w:rsidP="00BB2576">
      <w:pPr>
        <w:pStyle w:val="a4"/>
        <w:jc w:val="both"/>
      </w:pPr>
      <w:r>
        <w:t xml:space="preserve">Самостоятельная работа студентов (СРС и СРСП) – это дополнительное, более углубленное изучение отдельных тем, направлена на формирование умений самостоятельного изучения, освоения и анализа учебного материала. </w:t>
      </w:r>
    </w:p>
    <w:p w:rsidR="00BB2576" w:rsidRDefault="00BB2576" w:rsidP="00BB2576">
      <w:pPr>
        <w:pStyle w:val="a4"/>
        <w:jc w:val="both"/>
      </w:pPr>
      <w:r>
        <w:t xml:space="preserve"> СРС и СРСП включают в себя изучение и конспектирование первоисточников, чтение научной литературы, учебной литературы, систематическое изучение и конспектирование журналов экологической направленности, работа с таблицами, картами, подготовка и выступление с докладами и рефератами на лабораторных, практических и семинарских занятиях, на научных конференциях. </w:t>
      </w:r>
    </w:p>
    <w:p w:rsidR="00BB2576" w:rsidRDefault="00BB2576" w:rsidP="00BB2576">
      <w:pPr>
        <w:pStyle w:val="a4"/>
        <w:jc w:val="both"/>
      </w:pPr>
      <w:r>
        <w:t>В процессе подготовки студенты приобретают навыки самостоятельной работы с литературными источниками, навыки переработки, анализа и синтеза материала. Для углубленного усвоения её содержания особенно важное значение приобретает конспектирование.</w:t>
      </w:r>
    </w:p>
    <w:p w:rsidR="00BB2576" w:rsidRDefault="00BB2576" w:rsidP="00BB2576">
      <w:pPr>
        <w:pStyle w:val="a4"/>
        <w:jc w:val="both"/>
      </w:pPr>
      <w:r>
        <w:t>Характер конспекта зависит от цели изучения литературы. Если студент готовит отдельный тематический доклад, реферат или выступление, то он может вести выборочную тематическую запись отдельных предложений, фактов из одной или нескольких книг. Но в учебных целях нужно конспектировать так, чтобы конспект отражал содержание изучаемого материала.</w:t>
      </w:r>
    </w:p>
    <w:p w:rsidR="00BB2576" w:rsidRDefault="00BB2576" w:rsidP="00BB2576">
      <w:pPr>
        <w:ind w:firstLine="540"/>
        <w:jc w:val="both"/>
      </w:pPr>
      <w:r>
        <w:t>Лучшим конспектом является такой, в котором студент самостоятельно, своими словами излагает основное содержание работы (по главам, разделам), подкрепляя запись отдельными наиболее важными или характерными цитатами, фактами или цифровым материалом.</w:t>
      </w:r>
    </w:p>
    <w:p w:rsidR="00BB2576" w:rsidRDefault="00BB2576" w:rsidP="00BB2576">
      <w:pPr>
        <w:ind w:firstLine="540"/>
        <w:jc w:val="both"/>
      </w:pPr>
      <w:r>
        <w:t>При этом необходимо придерживаться таких правил:</w:t>
      </w:r>
    </w:p>
    <w:p w:rsidR="00BB2576" w:rsidRDefault="00BB2576" w:rsidP="00BB2576">
      <w:pPr>
        <w:numPr>
          <w:ilvl w:val="0"/>
          <w:numId w:val="1"/>
        </w:numPr>
        <w:jc w:val="both"/>
      </w:pPr>
      <w:r>
        <w:t>В конспекте должно быть изложено главное, основное;</w:t>
      </w:r>
    </w:p>
    <w:p w:rsidR="00BB2576" w:rsidRDefault="00BB2576" w:rsidP="00BB2576">
      <w:pPr>
        <w:numPr>
          <w:ilvl w:val="0"/>
          <w:numId w:val="1"/>
        </w:numPr>
        <w:jc w:val="both"/>
      </w:pPr>
      <w:r>
        <w:t>Запись должна быть строго адекватной содержанию книги, т.е. совершенно точной по содержанию;</w:t>
      </w:r>
    </w:p>
    <w:p w:rsidR="00BB2576" w:rsidRDefault="00BB2576" w:rsidP="00BB2576">
      <w:pPr>
        <w:numPr>
          <w:ilvl w:val="0"/>
          <w:numId w:val="1"/>
        </w:numPr>
        <w:jc w:val="both"/>
      </w:pPr>
      <w:r>
        <w:t>Запись должна логически связывать воедино все основные вопросы произведения;</w:t>
      </w:r>
    </w:p>
    <w:p w:rsidR="00BB2576" w:rsidRDefault="00BB2576" w:rsidP="00BB2576">
      <w:pPr>
        <w:numPr>
          <w:ilvl w:val="0"/>
          <w:numId w:val="1"/>
        </w:numPr>
        <w:jc w:val="both"/>
      </w:pPr>
      <w:r>
        <w:t>Конспект должен быть четким по объему.</w:t>
      </w:r>
    </w:p>
    <w:p w:rsidR="00BB2576" w:rsidRDefault="00BB2576" w:rsidP="00BB2576">
      <w:pPr>
        <w:ind w:firstLine="540"/>
        <w:jc w:val="both"/>
      </w:pPr>
      <w:r>
        <w:t>В конспекте можно (в случае необходимости) делать дополнения, вносить уточнения.</w:t>
      </w:r>
    </w:p>
    <w:p w:rsidR="00BB2576" w:rsidRDefault="00BB2576" w:rsidP="00BB2576">
      <w:pPr>
        <w:ind w:firstLine="540"/>
        <w:jc w:val="both"/>
      </w:pPr>
      <w:r>
        <w:t>Большого эффекта в изучении произведений, первоисточников можно достигнуть тогда, когда источники конспектируются в соответствии с их структурой, а не по планам семинаров.</w:t>
      </w:r>
    </w:p>
    <w:p w:rsidR="00BB2576" w:rsidRDefault="00BB2576" w:rsidP="00BB2576">
      <w:pPr>
        <w:ind w:firstLine="540"/>
        <w:jc w:val="both"/>
      </w:pPr>
      <w:r>
        <w:t>С чего начинается конспектирование первоисточника?</w:t>
      </w:r>
    </w:p>
    <w:p w:rsidR="00BB2576" w:rsidRDefault="00BB2576" w:rsidP="00BB2576">
      <w:pPr>
        <w:ind w:firstLine="540"/>
        <w:jc w:val="both"/>
      </w:pPr>
      <w:r>
        <w:t>С общего ознакомления с книгой. Это значит, прежде всего, обратить внимание на фамилию автора, название года, год и место издания. Затем следует внимательно прочитать оглавление, вступление и предисловие, в которых обычно раскрываются задачи книги, т.е. уяснить цель её написания.</w:t>
      </w:r>
    </w:p>
    <w:p w:rsidR="00BB2576" w:rsidRDefault="00BB2576" w:rsidP="00BB2576">
      <w:pPr>
        <w:ind w:firstLine="540"/>
        <w:jc w:val="both"/>
      </w:pPr>
      <w:r>
        <w:t>Студенты должны обязательно знать историческую обстановку, появления книги. Следующий этап – ориентировочное (т.е. первое) чтение. Если это статья или небольшое произведение, следует сначала полностью прочитать, что позволяет охватить материал в целом. Такое предварительное ознакомление с текстом поможет более быстрому и углубленному овладению всем сложным содержанием книги, что касается больших произведений, то их, следует предварительно читать по отдельным разделам или главам.</w:t>
      </w:r>
    </w:p>
    <w:p w:rsidR="00BB2576" w:rsidRDefault="00BB2576" w:rsidP="00BB2576">
      <w:pPr>
        <w:ind w:firstLine="540"/>
        <w:jc w:val="both"/>
      </w:pPr>
      <w:r>
        <w:t>Вслед за ориентировочным чтением необходимо приступить к углубленному изучению прочитанного. Приступить к записи следует после прочтения главы, параграфа. Существует несколько видов записей: план, тезисы, конспект.</w:t>
      </w:r>
    </w:p>
    <w:p w:rsidR="00BB2576" w:rsidRDefault="00BB2576" w:rsidP="00BB2576">
      <w:pPr>
        <w:ind w:firstLine="540"/>
        <w:jc w:val="both"/>
      </w:pPr>
      <w:r>
        <w:t>План – это перечень основных вопросов, содержание. При составлении его идет сложная самостоятельная работа мысли, формирование главного из прочитанного текста. Кроме простого плана, существует развернутый или сложный план, когда главное положение детализируется, конкретизируется. Иногда в процессе работы с книгой возникает необходимость выписать отдельные положения, цитаты, яркие факты, цифры. Выписки надо делать точно, без произвольных изменений, указывая в конспекте соответствующую страницу произведения или документа.</w:t>
      </w:r>
    </w:p>
    <w:p w:rsidR="00BB2576" w:rsidRDefault="00BB2576" w:rsidP="00BB2576">
      <w:pPr>
        <w:ind w:firstLine="540"/>
        <w:jc w:val="both"/>
      </w:pPr>
      <w:r>
        <w:t>Очень часто при самостоятельной работе с книгой пользуются записями в форме тезисов, их можно записать своими словами или словами из текста. Расположение тезисов должно соответствовать последовательности изложения материала в книге. Каждый тезис – это краткое содержание части главы. Обычно тезисы нумеруются.</w:t>
      </w:r>
    </w:p>
    <w:p w:rsidR="00BB2576" w:rsidRDefault="00BB2576" w:rsidP="00BB2576">
      <w:pPr>
        <w:ind w:firstLine="540"/>
        <w:jc w:val="both"/>
      </w:pPr>
      <w:r>
        <w:t>При изучении наиболее крупных произведений составляются конспекты, т.е. краткий пересказ содержания. Различают текстуальный конспект и свободный конспект.</w:t>
      </w:r>
    </w:p>
    <w:p w:rsidR="00BB2576" w:rsidRDefault="00BB2576" w:rsidP="00BB2576">
      <w:pPr>
        <w:ind w:firstLine="540"/>
        <w:jc w:val="both"/>
      </w:pPr>
      <w:r>
        <w:t>Текстуальный конспект – это такой конспект, когда основные положения книги выписываются в тетрадь, т.е. конспект, близкий к тексту книги.</w:t>
      </w:r>
    </w:p>
    <w:p w:rsidR="00BB2576" w:rsidRDefault="00BB2576" w:rsidP="00BB2576">
      <w:pPr>
        <w:ind w:firstLine="540"/>
        <w:jc w:val="both"/>
      </w:pPr>
      <w:r>
        <w:t>Наиболее рациональный вид конспекта – свободный конспект.</w:t>
      </w:r>
    </w:p>
    <w:p w:rsidR="00BB2576" w:rsidRDefault="00BB2576" w:rsidP="00BB2576">
      <w:pPr>
        <w:ind w:firstLine="540"/>
        <w:jc w:val="both"/>
      </w:pPr>
      <w:r>
        <w:t>Изложение содержания первоисточника в свободной записи имеет то преимущество, что требует глубокого самостоятельного продумывания мыслей автора, помогает глубже вникать в содержание прочитанного, лучше понять, развивает логическое мышление, повышает культуру письменной и устной речи.</w:t>
      </w:r>
    </w:p>
    <w:p w:rsidR="00BB2576" w:rsidRDefault="00BB2576" w:rsidP="00BB2576">
      <w:pPr>
        <w:ind w:firstLine="540"/>
        <w:jc w:val="both"/>
      </w:pPr>
      <w:r>
        <w:t>Ценность конспекта будет значительно выше, если в нем, наряду с содержанием основных вопросов произведения, будут записаны на полях тетради мысли, возникшие в ходе изучения работы.</w:t>
      </w:r>
    </w:p>
    <w:p w:rsidR="00BB2576" w:rsidRDefault="00BB2576" w:rsidP="00BB2576">
      <w:pPr>
        <w:ind w:firstLine="540"/>
        <w:jc w:val="both"/>
      </w:pPr>
      <w:r>
        <w:t>Необходимо обратить внимание студентов и на внешнее оформление конспекта: соблюдать четкость записей, на страницах оставлять поля, главы и параграфы выделять с новой строки. Важно убедиться студентам, что конспект ими составляется не для проверки преподавателем, а служит средством приобретения знаний.</w:t>
      </w:r>
    </w:p>
    <w:p w:rsidR="00BB2576" w:rsidRDefault="00BB2576" w:rsidP="00BB2576">
      <w:pPr>
        <w:ind w:firstLine="540"/>
        <w:jc w:val="both"/>
      </w:pPr>
      <w:r>
        <w:t>Специфической формой организации самостоятельной работы студентов являются письменные контрольные работы. Они способствуют углубленному изучению материала, развивают у студентов навыки самостоятельного его изучения, обобщения и изложения.</w:t>
      </w:r>
    </w:p>
    <w:p w:rsidR="00BB2576" w:rsidRDefault="00BB2576" w:rsidP="00BB2576">
      <w:pPr>
        <w:ind w:firstLine="540"/>
        <w:jc w:val="both"/>
      </w:pPr>
      <w:r>
        <w:t>Приступая к работе, необходимо, прежде всего, ознакомиться с примерным планом вопросов, которые предстоит раскрыть. Прочесть всю рекомендованную литературу и примерно сгруппировать ее в соответствии с ними. Литературу желательно дополнить своей используемой.</w:t>
      </w:r>
    </w:p>
    <w:p w:rsidR="00BB2576" w:rsidRDefault="00BB2576" w:rsidP="00BB2576">
      <w:pPr>
        <w:ind w:firstLine="540"/>
        <w:jc w:val="both"/>
      </w:pPr>
      <w:r>
        <w:t>Затем приступить к углубленному изучению сгруппированной литературы и ответу на вопросы. Материал излагать последовательно, лаконично.</w:t>
      </w:r>
    </w:p>
    <w:p w:rsidR="00BB2576" w:rsidRDefault="00BB2576" w:rsidP="00BB2576">
      <w:pPr>
        <w:ind w:firstLine="540"/>
        <w:jc w:val="both"/>
      </w:pPr>
      <w:r>
        <w:t>Основные мысли сопровождать иллюстрированным материалом – фактами, цифрами.</w:t>
      </w:r>
    </w:p>
    <w:p w:rsidR="00BB2576" w:rsidRDefault="00BB2576" w:rsidP="00BB2576">
      <w:pPr>
        <w:ind w:firstLine="540"/>
        <w:jc w:val="both"/>
      </w:pPr>
      <w:r>
        <w:t>В конце каждого вопроса делаются выводы. ВУ завершение работы – выводы по теме и список используемой литературы (в алфавитном порядке).</w:t>
      </w:r>
    </w:p>
    <w:p w:rsidR="00BB2576" w:rsidRDefault="00BB2576" w:rsidP="00BB2576">
      <w:pPr>
        <w:ind w:firstLine="540"/>
        <w:jc w:val="both"/>
      </w:pPr>
      <w:r>
        <w:t>Цитаты, тексты других авторов, выписки из документов делаются в кавычках, в сносках (нижняя часть листа, отделенная чертой) указывается источник: фамилия, инициалы автора, название произведения, место и год издания, издательство, том и страницы.</w:t>
      </w:r>
    </w:p>
    <w:p w:rsidR="00BB2576" w:rsidRDefault="00BB2576" w:rsidP="00BB2576">
      <w:pPr>
        <w:ind w:firstLine="540"/>
        <w:jc w:val="both"/>
      </w:pPr>
      <w:r>
        <w:t>Самостоятельная письменная работа отличается от такой формы, как реферат. Студентам предлагаются проблемные вопросы, из которых они могут выбрать один и дать на него развернутый письменный ответ.</w:t>
      </w:r>
    </w:p>
    <w:p w:rsidR="00BB2576" w:rsidRDefault="00BB2576" w:rsidP="00BB2576">
      <w:pPr>
        <w:ind w:firstLine="540"/>
        <w:jc w:val="both"/>
      </w:pPr>
      <w:r>
        <w:t>Объем такой работы не должен превышать 5-8 страниц. Работа эта требует значительного умственного напряжения, т.к. предполагает анализ различных точек зрения на проблему и аргументированную собственную позицию. Это исключает бездумное переписывание из статей и монографий, что является недостатком студенческих рефератов и активизирует самостоятельную аналитическую деятельность студентов.</w:t>
      </w:r>
    </w:p>
    <w:p w:rsidR="00BB2576" w:rsidRDefault="00BB2576" w:rsidP="00BB2576">
      <w:pPr>
        <w:ind w:firstLine="540"/>
        <w:jc w:val="both"/>
      </w:pPr>
      <w:r>
        <w:t>Таким образом, баллы за эту работу начисляются не за факт её написания, а за умение аргументировать отстаиваемую точку зрения.</w:t>
      </w:r>
    </w:p>
    <w:p w:rsidR="00BB2576" w:rsidRDefault="00BB2576" w:rsidP="00BB2576">
      <w:pPr>
        <w:ind w:firstLine="540"/>
        <w:jc w:val="both"/>
      </w:pPr>
      <w:r>
        <w:t>Работа должна быть рукописной, каллиграфически доступной для чтения. К её оформлению предъявляются следующие требования. На обложке тетради указать номер контрольной работы, Ф. И. О., курс, шифр специальности.</w:t>
      </w:r>
    </w:p>
    <w:p w:rsidR="00BB2576" w:rsidRDefault="00BB2576" w:rsidP="00BB2576">
      <w:pPr>
        <w:ind w:firstLine="540"/>
        <w:jc w:val="both"/>
      </w:pPr>
      <w:r>
        <w:t xml:space="preserve">На 1-ой странице написать название темы, план, страницы пронумеровать, оставив поля 2,5 – </w:t>
      </w:r>
      <w:smartTag w:uri="urn:schemas-microsoft-com:office:smarttags" w:element="metricconverter">
        <w:smartTagPr>
          <w:attr w:name="ProductID" w:val="3 см"/>
        </w:smartTagPr>
        <w:r>
          <w:t>3 см</w:t>
        </w:r>
      </w:smartTag>
      <w:r>
        <w:t>.</w:t>
      </w:r>
    </w:p>
    <w:p w:rsidR="00BB2576" w:rsidRDefault="00BB2576" w:rsidP="00BB2576">
      <w:pPr>
        <w:ind w:firstLine="540"/>
        <w:jc w:val="both"/>
      </w:pPr>
      <w:r>
        <w:t>Коэффициент значимости отвечающей этим требованиям контрольной работы – 3.</w:t>
      </w:r>
    </w:p>
    <w:p w:rsidR="00BB2576" w:rsidRDefault="00BB2576" w:rsidP="00BB2576">
      <w:pPr>
        <w:ind w:firstLine="540"/>
        <w:jc w:val="both"/>
      </w:pPr>
      <w:r>
        <w:t>К защите не допускаются работы, списанные с учебников, лекций, т.е. работы, в которых нет собственной мысли, а также работы, которые невозможно прочесть. Студенты могут писать рефераты, темы которых даются в планах семинарских занятий.</w:t>
      </w:r>
    </w:p>
    <w:p w:rsidR="00BB2576" w:rsidRDefault="00BB2576" w:rsidP="00BB2576">
      <w:pPr>
        <w:ind w:firstLine="540"/>
        <w:jc w:val="both"/>
      </w:pPr>
      <w:r>
        <w:t>Каждому реферату предпосылается титульный лист, где указывается название института, кафедры, тема реферата, кто выполнил, руководитель.</w:t>
      </w:r>
    </w:p>
    <w:p w:rsidR="00BB2576" w:rsidRDefault="00BB2576" w:rsidP="00BB2576">
      <w:pPr>
        <w:ind w:firstLine="540"/>
        <w:jc w:val="both"/>
      </w:pPr>
      <w:r>
        <w:t>Реферат состоит из введения, основного содержания, заключения к библиографии.</w:t>
      </w:r>
    </w:p>
    <w:p w:rsidR="00BB2576" w:rsidRDefault="00BB2576" w:rsidP="00BB2576">
      <w:pPr>
        <w:ind w:firstLine="540"/>
        <w:jc w:val="both"/>
      </w:pPr>
      <w:r>
        <w:t>Во введении обосновываются актуальность темы, задачи автора, кратко дается характеристика использованных источников, альтернативные суждения по проблеме (если таковы имеются).</w:t>
      </w:r>
    </w:p>
    <w:p w:rsidR="00BB2576" w:rsidRDefault="00BB2576" w:rsidP="00BB2576">
      <w:pPr>
        <w:ind w:firstLine="540"/>
        <w:jc w:val="both"/>
      </w:pPr>
      <w:r>
        <w:t>Основное содержание может излагаться в одном или нескольких главах, должно быть высказано мнение автора реферата, выводы по каждому вопросу.</w:t>
      </w:r>
    </w:p>
    <w:p w:rsidR="00BB2576" w:rsidRDefault="00BB2576" w:rsidP="00BB2576">
      <w:pPr>
        <w:ind w:firstLine="540"/>
        <w:jc w:val="both"/>
      </w:pPr>
      <w:r>
        <w:t>Заключение содержит выводы по всей теме реферата.</w:t>
      </w:r>
    </w:p>
    <w:p w:rsidR="00BB2576" w:rsidRDefault="00BB2576" w:rsidP="00BB2576">
      <w:pPr>
        <w:tabs>
          <w:tab w:val="left" w:pos="6120"/>
        </w:tabs>
        <w:jc w:val="both"/>
        <w:rPr>
          <w:b/>
        </w:rPr>
      </w:pPr>
      <w:r>
        <w:t>Составляется библиография, как и при написании контрольной работы, может дифференцироваться на архивные документы, первоисточники, исследовательские работы, материалы периодики и т.д.</w:t>
      </w:r>
      <w:r>
        <w:rPr>
          <w:b/>
        </w:rPr>
        <w:t xml:space="preserve"> </w:t>
      </w:r>
    </w:p>
    <w:p w:rsidR="00BB2576" w:rsidRDefault="00BB2576" w:rsidP="00BB2576">
      <w:pPr>
        <w:tabs>
          <w:tab w:val="left" w:pos="6120"/>
        </w:tabs>
        <w:jc w:val="both"/>
        <w:rPr>
          <w:b/>
        </w:rPr>
      </w:pPr>
    </w:p>
    <w:p w:rsidR="00BB4DC7" w:rsidRPr="00BB4DC7" w:rsidRDefault="00BB2576" w:rsidP="00BB4DC7">
      <w:pPr>
        <w:pStyle w:val="HTML"/>
        <w:tabs>
          <w:tab w:val="clear" w:pos="10076"/>
          <w:tab w:val="left" w:pos="8820"/>
        </w:tabs>
        <w:jc w:val="both"/>
        <w:textAlignment w:val="top"/>
        <w:rPr>
          <w:rFonts w:ascii="Times New Roman" w:hAnsi="Times New Roman" w:cs="Times New Roman"/>
          <w:b/>
          <w:sz w:val="24"/>
          <w:szCs w:val="24"/>
        </w:rPr>
      </w:pPr>
      <w:r w:rsidRPr="00BB4DC7">
        <w:rPr>
          <w:rFonts w:ascii="Times New Roman" w:hAnsi="Times New Roman" w:cs="Times New Roman"/>
          <w:b/>
          <w:sz w:val="24"/>
          <w:szCs w:val="24"/>
        </w:rPr>
        <w:t>САМОСТОЯТЕЛЬНАЯ РАБОТА СТУДЕНТОВ</w:t>
      </w:r>
    </w:p>
    <w:p w:rsidR="00BB4DC7" w:rsidRPr="00EA5D1F" w:rsidRDefault="00BB4DC7" w:rsidP="00BB4DC7">
      <w:pPr>
        <w:pStyle w:val="HTML"/>
        <w:tabs>
          <w:tab w:val="clear" w:pos="10076"/>
          <w:tab w:val="left" w:pos="8820"/>
        </w:tabs>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1. Национальные и международные организации по стандартизации. Действия</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Госстандарта Р</w:t>
      </w:r>
      <w:r>
        <w:rPr>
          <w:rFonts w:ascii="Times New Roman" w:hAnsi="Times New Roman" w:cs="Times New Roman"/>
          <w:color w:val="000000"/>
          <w:sz w:val="24"/>
          <w:szCs w:val="24"/>
        </w:rPr>
        <w:t>К</w:t>
      </w:r>
      <w:r w:rsidRPr="00EA5D1F">
        <w:rPr>
          <w:rFonts w:ascii="Times New Roman" w:hAnsi="Times New Roman" w:cs="Times New Roman"/>
          <w:color w:val="000000"/>
          <w:sz w:val="24"/>
          <w:szCs w:val="24"/>
        </w:rPr>
        <w:t xml:space="preserve"> по приведению российских стандартов в соответствие с</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международными стандартами ИСО.</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2. Система экологических стандартов, основные разновидности экологических</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стандартов.</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3. Развитие методологии экологического управления от Британского стандарта В8</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7750, Постановления ЕЭС № 1836\93 до международных стандартов по</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экологическому менеджменту серии ИСО 14000 (ecology management).</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4. Преимущества от внедрения СЭМ.</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5. Модель СЭМ.принятая для ИСО 14000. Цикличность, динамичность модели.</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6. Структура стандартов ИСО 14 000. Основные и обслуживающие стандарты.</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7. Связь стандартов по системам управления качеством ИСО 9000 и стандартов по</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экологическому менеджменту ИСО 14 000.</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8. Общие требования к политике, планированию, контрольным и корректирующим</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действиям, анализу.</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9. Предварительная оценка воздействия предприятия на окружающую среду.</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10. Идентификация требований природоохранных законодательных актов и других</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нормативных документов.</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11. Метод экологических балансов.</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12. Анализ жизненного цикла продукта с точки зрения воздействия на окружающую</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среду.</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13. Идентификация экологических аспектов и воздействий.</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14. Определение значимости экологических аспектов и воздействий.</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15. Экологическая политика.</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16. Экологические программы.</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17. Подготовка персонала и поддержание его компетентности. Информационные</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связи.</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18. Подготовленность к аварийным ситуациям.</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19. Выбор критериев оценки СЭМ. Мониторинг по выбранным критериям оценки.</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20. Корректирующие и предупреждающие действия.</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21. Документация в системе экологического менеджмента.</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22. Анализ системы экологического менеджмента со стороны руководства.</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Постоянное улучшение.</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23. Оценка экономической эффективности систем экологического менеджмента.</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Основные экономические эффекты систем экологического менеджмента.</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Экономия сырья и материалов, снижение экологических выплат, завоевание</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"зеленого" сектора рынка, получение льготных кредитов, улучшение имиджа</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фирмы.</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24. Организация внутреннего аудита. Осуществление внутренних аудиторских</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проверок.</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25. Подготовка к сертификации на соответствие международным экологическим</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стандартам ИСО 14 001.</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26. Стандарт ИСО 19011 «Аудит систем качества и /или систем экологического</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менеджмента»</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27. Сертификация систем экологического менеджмента. Внешний аудит.</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28. Внешние аудиторские фирмы.</w:t>
      </w:r>
    </w:p>
    <w:p w:rsidR="00BB4DC7" w:rsidRPr="00EA5D1F" w:rsidRDefault="00BB4DC7" w:rsidP="00BB4DC7">
      <w:pPr>
        <w:pStyle w:val="HTML"/>
        <w:tabs>
          <w:tab w:val="left" w:pos="5760"/>
        </w:tabs>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29. Перспективы и проблемы сертификации в Р</w:t>
      </w:r>
      <w:r>
        <w:rPr>
          <w:rFonts w:ascii="Times New Roman" w:hAnsi="Times New Roman" w:cs="Times New Roman"/>
          <w:color w:val="000000"/>
          <w:sz w:val="24"/>
          <w:szCs w:val="24"/>
        </w:rPr>
        <w:t>К</w:t>
      </w:r>
      <w:r w:rsidRPr="00EA5D1F">
        <w:rPr>
          <w:rFonts w:ascii="Times New Roman" w:hAnsi="Times New Roman" w:cs="Times New Roman"/>
          <w:color w:val="000000"/>
          <w:sz w:val="24"/>
          <w:szCs w:val="24"/>
        </w:rPr>
        <w:t>.</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30. Идентификация требований природоохранных законодательных актов и других</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нормативных документов. Создание и веде</w:t>
      </w:r>
      <w:r>
        <w:rPr>
          <w:rFonts w:ascii="Times New Roman" w:hAnsi="Times New Roman" w:cs="Times New Roman"/>
          <w:color w:val="000000"/>
          <w:sz w:val="24"/>
          <w:szCs w:val="24"/>
        </w:rPr>
        <w:t xml:space="preserve">ние регистра природоохранной </w:t>
      </w:r>
      <w:r w:rsidRPr="00EA5D1F">
        <w:rPr>
          <w:rFonts w:ascii="Times New Roman" w:hAnsi="Times New Roman" w:cs="Times New Roman"/>
          <w:color w:val="000000"/>
          <w:sz w:val="24"/>
          <w:szCs w:val="24"/>
        </w:rPr>
        <w:t>документации на предприятии (РПД).</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31. Идентификация экологических аспектов и воздействий. Определение</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значимости экологических аспектов и воздействий. Создание регистра</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экологически значимых аспектов деятельности предприятия (РЭА).</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32. Экологические программы. Оформление экологических программ.</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33. Проверка выполнения запланированных мероприятий.</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34. Оценка подготовленности к аварийным ситуациям.</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35. Работа инициативных творческих групп по решению экологических проблем</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предприятия.</w:t>
      </w:r>
    </w:p>
    <w:p w:rsidR="00BB4DC7" w:rsidRPr="00EA5D1F" w:rsidRDefault="00BB4DC7" w:rsidP="00BB4DC7">
      <w:pPr>
        <w:pStyle w:val="HTML"/>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36. Привлечение внутренних и внешних инвестиции для реализации экологических</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программ. Методология Чистого производства.</w:t>
      </w:r>
    </w:p>
    <w:p w:rsidR="00BB4DC7" w:rsidRPr="00EA5D1F" w:rsidRDefault="00BB4DC7" w:rsidP="00BB4DC7">
      <w:pPr>
        <w:pStyle w:val="HTML"/>
        <w:tabs>
          <w:tab w:val="clear" w:pos="916"/>
          <w:tab w:val="clear" w:pos="1832"/>
          <w:tab w:val="clear" w:pos="2748"/>
          <w:tab w:val="left" w:pos="360"/>
        </w:tabs>
        <w:jc w:val="both"/>
        <w:textAlignment w:val="top"/>
        <w:rPr>
          <w:rFonts w:ascii="Times New Roman" w:hAnsi="Times New Roman" w:cs="Times New Roman"/>
          <w:color w:val="000000"/>
          <w:sz w:val="24"/>
          <w:szCs w:val="24"/>
        </w:rPr>
      </w:pPr>
      <w:r w:rsidRPr="00EA5D1F">
        <w:rPr>
          <w:rFonts w:ascii="Times New Roman" w:hAnsi="Times New Roman" w:cs="Times New Roman"/>
          <w:color w:val="000000"/>
          <w:sz w:val="24"/>
          <w:szCs w:val="24"/>
        </w:rPr>
        <w:t>37. Подходы ИСО к стандартизации экологической маркировки продукции. Типы</w:t>
      </w:r>
      <w:r>
        <w:rPr>
          <w:rFonts w:ascii="Times New Roman" w:hAnsi="Times New Roman" w:cs="Times New Roman"/>
          <w:color w:val="000000"/>
          <w:sz w:val="24"/>
          <w:szCs w:val="24"/>
        </w:rPr>
        <w:t xml:space="preserve"> </w:t>
      </w:r>
      <w:r w:rsidRPr="00EA5D1F">
        <w:rPr>
          <w:rFonts w:ascii="Times New Roman" w:hAnsi="Times New Roman" w:cs="Times New Roman"/>
          <w:color w:val="000000"/>
          <w:sz w:val="24"/>
          <w:szCs w:val="24"/>
        </w:rPr>
        <w:t xml:space="preserve">экологических маркировок. Разработка варианта </w:t>
      </w:r>
      <w:r>
        <w:rPr>
          <w:rFonts w:ascii="Times New Roman" w:hAnsi="Times New Roman" w:cs="Times New Roman"/>
          <w:color w:val="000000"/>
          <w:sz w:val="24"/>
          <w:szCs w:val="24"/>
        </w:rPr>
        <w:t>казахстанской</w:t>
      </w:r>
      <w:r w:rsidRPr="00EA5D1F">
        <w:rPr>
          <w:rFonts w:ascii="Times New Roman" w:hAnsi="Times New Roman" w:cs="Times New Roman"/>
          <w:color w:val="000000"/>
          <w:sz w:val="24"/>
          <w:szCs w:val="24"/>
        </w:rPr>
        <w:t xml:space="preserve"> экомаркировки.</w:t>
      </w:r>
    </w:p>
    <w:p w:rsidR="00BB2576" w:rsidRDefault="00BB2576" w:rsidP="00BB2576">
      <w:pPr>
        <w:jc w:val="center"/>
        <w:rPr>
          <w:b/>
        </w:rPr>
      </w:pPr>
      <w:bookmarkStart w:id="0" w:name="_GoBack"/>
      <w:bookmarkEnd w:id="0"/>
    </w:p>
    <w:sectPr w:rsidR="00BB2576" w:rsidSect="00503E27">
      <w:headerReference w:type="even" r:id="rId7"/>
      <w:headerReference w:type="default" r:id="rId8"/>
      <w:pgSz w:w="11906" w:h="16838"/>
      <w:pgMar w:top="1134" w:right="850" w:bottom="1134" w:left="1701" w:header="708" w:footer="708" w:gutter="0"/>
      <w:pgNumType w:start="8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DAE" w:rsidRDefault="007A5DAE">
      <w:r>
        <w:separator/>
      </w:r>
    </w:p>
  </w:endnote>
  <w:endnote w:type="continuationSeparator" w:id="0">
    <w:p w:rsidR="007A5DAE" w:rsidRDefault="007A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DAE" w:rsidRDefault="007A5DAE">
      <w:r>
        <w:separator/>
      </w:r>
    </w:p>
  </w:footnote>
  <w:footnote w:type="continuationSeparator" w:id="0">
    <w:p w:rsidR="007A5DAE" w:rsidRDefault="007A5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6F3" w:rsidRDefault="00A276F3" w:rsidP="00FE699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276F3" w:rsidRDefault="00A276F3" w:rsidP="00A276F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6F3" w:rsidRDefault="00A276F3" w:rsidP="00A276F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AE0A59"/>
    <w:multiLevelType w:val="singleLevel"/>
    <w:tmpl w:val="4E8A97CA"/>
    <w:lvl w:ilvl="0">
      <w:start w:val="1"/>
      <w:numFmt w:val="decimal"/>
      <w:lvlText w:val="%1."/>
      <w:lvlJc w:val="left"/>
      <w:pPr>
        <w:tabs>
          <w:tab w:val="num" w:pos="900"/>
        </w:tabs>
        <w:ind w:left="90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2576"/>
    <w:rsid w:val="0030051A"/>
    <w:rsid w:val="00372F25"/>
    <w:rsid w:val="00503E27"/>
    <w:rsid w:val="00514CA6"/>
    <w:rsid w:val="00542C9B"/>
    <w:rsid w:val="006D6AD6"/>
    <w:rsid w:val="006F3685"/>
    <w:rsid w:val="00793854"/>
    <w:rsid w:val="007A5DAE"/>
    <w:rsid w:val="00850704"/>
    <w:rsid w:val="00A276F3"/>
    <w:rsid w:val="00BB2576"/>
    <w:rsid w:val="00BB4DC7"/>
    <w:rsid w:val="00F33E37"/>
    <w:rsid w:val="00FE6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27F7C2A-C38B-4196-B13A-39C9D330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57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B2576"/>
    <w:pPr>
      <w:jc w:val="center"/>
    </w:pPr>
    <w:rPr>
      <w:b/>
    </w:rPr>
  </w:style>
  <w:style w:type="paragraph" w:styleId="a4">
    <w:name w:val="Body Text Indent"/>
    <w:basedOn w:val="a"/>
    <w:rsid w:val="00BB2576"/>
    <w:pPr>
      <w:spacing w:after="120"/>
      <w:ind w:left="283"/>
    </w:pPr>
  </w:style>
  <w:style w:type="paragraph" w:styleId="a5">
    <w:name w:val="header"/>
    <w:basedOn w:val="a"/>
    <w:rsid w:val="00A276F3"/>
    <w:pPr>
      <w:tabs>
        <w:tab w:val="center" w:pos="4677"/>
        <w:tab w:val="right" w:pos="9355"/>
      </w:tabs>
    </w:pPr>
  </w:style>
  <w:style w:type="character" w:styleId="a6">
    <w:name w:val="page number"/>
    <w:basedOn w:val="a0"/>
    <w:rsid w:val="00A276F3"/>
  </w:style>
  <w:style w:type="character" w:styleId="a7">
    <w:name w:val="Hyperlink"/>
    <w:basedOn w:val="a0"/>
    <w:rsid w:val="006D6AD6"/>
    <w:rPr>
      <w:color w:val="008000"/>
      <w:u w:val="single"/>
    </w:rPr>
  </w:style>
  <w:style w:type="paragraph" w:styleId="a8">
    <w:name w:val="Normal (Web)"/>
    <w:basedOn w:val="a"/>
    <w:rsid w:val="006D6AD6"/>
    <w:pPr>
      <w:spacing w:before="100" w:beforeAutospacing="1" w:after="100" w:afterAutospacing="1"/>
    </w:pPr>
  </w:style>
  <w:style w:type="character" w:styleId="a9">
    <w:name w:val="Strong"/>
    <w:basedOn w:val="a0"/>
    <w:qFormat/>
    <w:rsid w:val="006D6AD6"/>
    <w:rPr>
      <w:b/>
      <w:bCs/>
    </w:rPr>
  </w:style>
  <w:style w:type="character" w:styleId="aa">
    <w:name w:val="Emphasis"/>
    <w:basedOn w:val="a0"/>
    <w:qFormat/>
    <w:rsid w:val="006D6AD6"/>
    <w:rPr>
      <w:i/>
      <w:iCs/>
    </w:rPr>
  </w:style>
  <w:style w:type="paragraph" w:styleId="HTML">
    <w:name w:val="HTML Preformatted"/>
    <w:basedOn w:val="a"/>
    <w:rsid w:val="00BB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b">
    <w:name w:val="footer"/>
    <w:basedOn w:val="a"/>
    <w:rsid w:val="00F33E3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1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1724</Words>
  <Characters>9832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Жулдуз</dc:creator>
  <cp:keywords/>
  <cp:lastModifiedBy>Irina</cp:lastModifiedBy>
  <cp:revision>2</cp:revision>
  <dcterms:created xsi:type="dcterms:W3CDTF">2014-08-01T15:50:00Z</dcterms:created>
  <dcterms:modified xsi:type="dcterms:W3CDTF">2014-08-01T15:50:00Z</dcterms:modified>
</cp:coreProperties>
</file>