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Ю.А.Клейнер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Устная традиция и фольклор</w:t>
      </w:r>
    </w:p>
    <w:p w:rsidR="00E41C82" w:rsidRDefault="00E41C82">
      <w:pPr>
        <w:widowControl w:val="0"/>
        <w:autoSpaceDE w:val="0"/>
        <w:autoSpaceDN w:val="0"/>
        <w:adjustRightInd w:val="0"/>
        <w:spacing w:before="60" w:line="240" w:lineRule="atLeast"/>
        <w:jc w:val="center"/>
        <w:rPr>
          <w:b/>
          <w:bCs/>
          <w:sz w:val="20"/>
          <w:szCs w:val="20"/>
        </w:rPr>
      </w:pPr>
    </w:p>
    <w:p w:rsidR="00E41C82" w:rsidRDefault="00E41C82">
      <w:pPr>
        <w:widowControl w:val="0"/>
        <w:autoSpaceDE w:val="0"/>
        <w:autoSpaceDN w:val="0"/>
        <w:adjustRightInd w:val="0"/>
        <w:spacing w:before="60" w:line="240" w:lineRule="atLeast"/>
        <w:jc w:val="center"/>
        <w:rPr>
          <w:b/>
          <w:bCs/>
          <w:sz w:val="20"/>
          <w:szCs w:val="20"/>
        </w:rPr>
      </w:pP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Курс посвящен рассмотрению лингвистических основ живой устной традиции, различных фольклорных жанров, эпоса, сказительства), т.е. структурных характеристик поэтического языка данной традиции в связи с естественным языком, в рамках которого происходит ее бытование. Будут рассмотрены лингвистические по своей сути методы исследования устной традиции, позволяющие в свою очередь, лучше понять закономерности функционирования и динамики естественного языка, а также воздействие устной традиции на языковое сознание его носителей.</w:t>
      </w:r>
    </w:p>
    <w:p w:rsidR="00E41C82" w:rsidRDefault="00E41C82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Содержание курса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1. Введение. Устная традиция: основные понятия.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2. История изучения устной традиции. Российская фольклористическая школа: А.Н. Веселовский, А.М.Астахова, В.М.Жирмунский, Б.Н.Путилов. Формульная теория: М. Пэрри, А.Б. Лорд.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3. Бытование устного произведения. Сказительство (эпос, былина). Прозаические жанры: бывальщина, story-telling.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4. Структура устного произведения. Темы и формулы. Устный текст. Поэтический язык.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5. Поэтический и естественный язык: лингвистические аспекты. Типология поэтических языков в связи с общелингвистической типологией.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6. Устная традиция и письменность. Устная и письменная культура.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7. Эволюция остной традиции. От темы к мотиву, от формулы к клише. От сказительства к дискурсу.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>8. Элементы традиционной культуры в языке.</w:t>
      </w:r>
    </w:p>
    <w:p w:rsidR="00E41C82" w:rsidRDefault="00E41C82">
      <w:pPr>
        <w:widowControl w:val="0"/>
        <w:autoSpaceDE w:val="0"/>
        <w:autoSpaceDN w:val="0"/>
        <w:adjustRightInd w:val="0"/>
        <w:spacing w:before="60" w:line="240" w:lineRule="atLeast"/>
        <w:ind w:firstLine="720"/>
        <w:rPr>
          <w:sz w:val="20"/>
          <w:szCs w:val="20"/>
        </w:rPr>
      </w:pP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Основная литература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</w:rPr>
      </w:pPr>
      <w:r>
        <w:rPr>
          <w:sz w:val="20"/>
          <w:szCs w:val="20"/>
        </w:rPr>
        <w:t>Веселовский А.Н. Историческая поэтика. Л., 1940.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</w:rPr>
      </w:pPr>
      <w:r>
        <w:rPr>
          <w:sz w:val="20"/>
          <w:szCs w:val="20"/>
        </w:rPr>
        <w:t>Клейнер Ю.А. Сюжет - песнь - традиция // Слово в контексте литературной эволюции.М., 1993.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</w:rPr>
      </w:pPr>
      <w:r>
        <w:rPr>
          <w:sz w:val="20"/>
          <w:szCs w:val="20"/>
        </w:rPr>
        <w:t>Клейнер Ю.А. Формулы и клише // Речевые и ментальные стереотипы в синхронии и диахронии / Ин-т славяноведения и балканистики РАН, М., 1995.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</w:rPr>
      </w:pPr>
      <w:r>
        <w:rPr>
          <w:sz w:val="20"/>
          <w:szCs w:val="20"/>
        </w:rPr>
        <w:t>Леви-Стросс К. Структурная антропология. М., 1985.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</w:rPr>
      </w:pPr>
      <w:r>
        <w:rPr>
          <w:sz w:val="20"/>
          <w:szCs w:val="20"/>
        </w:rPr>
        <w:t>Лорд А.Б. Сказитель. М., 1994.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</w:rPr>
      </w:pPr>
      <w:r>
        <w:rPr>
          <w:sz w:val="20"/>
          <w:szCs w:val="20"/>
        </w:rPr>
        <w:t>Путилов Б.Н. Эпическое сказительство. М., 1997.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  <w:lang w:val="en-US"/>
        </w:rPr>
      </w:pPr>
      <w:r>
        <w:rPr>
          <w:sz w:val="20"/>
          <w:szCs w:val="20"/>
        </w:rPr>
        <w:t>Путилов Б.Н. Экскурсы в теорию и историю славянского эпоса. СПб, 1999. Стеблин-Каменский М.И. Становление литературы. Л</w:t>
      </w:r>
      <w:r>
        <w:rPr>
          <w:sz w:val="20"/>
          <w:szCs w:val="20"/>
          <w:lang w:val="en-US"/>
        </w:rPr>
        <w:t>., 1984.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Hill J.H., Irvine J.T. (eds.) Responsibility and evidence in oral discourse. Cambridge, 1992.</w:t>
      </w:r>
    </w:p>
    <w:p w:rsidR="00E41C82" w:rsidRDefault="000B0A20">
      <w:pPr>
        <w:widowControl w:val="0"/>
        <w:autoSpaceDE w:val="0"/>
        <w:autoSpaceDN w:val="0"/>
        <w:adjustRightInd w:val="0"/>
        <w:spacing w:before="60" w:line="240" w:lineRule="atLeast"/>
        <w:ind w:left="720" w:hanging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Foley J.M. The Theory of oral composition. History and methodlogy. Bloomington, 1988.</w:t>
      </w:r>
    </w:p>
    <w:p w:rsidR="00E41C82" w:rsidRDefault="00E41C82">
      <w:bookmarkStart w:id="0" w:name="_GoBack"/>
      <w:bookmarkEnd w:id="0"/>
    </w:p>
    <w:sectPr w:rsidR="00E41C82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A20"/>
    <w:rsid w:val="000B0A20"/>
    <w:rsid w:val="00E41C82"/>
    <w:rsid w:val="00E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9D54-04B2-4E64-AE80-F246424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Ю</vt:lpstr>
    </vt:vector>
  </TitlesOfParts>
  <Company>SPbGU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</dc:title>
  <dc:subject/>
  <dc:creator>Lingva1</dc:creator>
  <cp:keywords/>
  <dc:description/>
  <cp:lastModifiedBy>Irina</cp:lastModifiedBy>
  <cp:revision>2</cp:revision>
  <dcterms:created xsi:type="dcterms:W3CDTF">2014-08-02T16:04:00Z</dcterms:created>
  <dcterms:modified xsi:type="dcterms:W3CDTF">2014-08-02T16:04:00Z</dcterms:modified>
</cp:coreProperties>
</file>