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D0" w:rsidRDefault="003046D0" w:rsidP="00B97A2B">
      <w:pPr>
        <w:ind w:firstLine="708"/>
        <w:jc w:val="both"/>
      </w:pPr>
    </w:p>
    <w:p w:rsidR="00DF4513" w:rsidRPr="00B97A2B" w:rsidRDefault="00DF4513" w:rsidP="00B97A2B">
      <w:pPr>
        <w:ind w:firstLine="708"/>
        <w:jc w:val="both"/>
      </w:pPr>
      <w:r w:rsidRPr="00AB0D52">
        <w:t>Подавляющее число государств испытывает недостаток собственных финансовых ресурсов для осуществления внутренних платежей, покрытия дефицита государственного бюджета, проведения социально-экономической политики и выполнения обязательств по уже осуществлённым внешним заимствованиям. Внешние заимствования активно используют развитые и развивающиеся страны.</w:t>
      </w:r>
    </w:p>
    <w:p w:rsidR="00DF4513" w:rsidRPr="00AB0D52" w:rsidRDefault="00DF4513" w:rsidP="00F62F56">
      <w:pPr>
        <w:ind w:firstLine="708"/>
        <w:jc w:val="both"/>
      </w:pPr>
      <w:r w:rsidRPr="00AB0D52">
        <w:t>В разных странах соотношение привлечённых и предоставленных средств неодинаково, однако практически везде, в том числе и в России, сложилась экономическая система, во многом основанная на внешних заимствованиях.</w:t>
      </w:r>
    </w:p>
    <w:p w:rsidR="00DF4513" w:rsidRDefault="00DF4513" w:rsidP="00F62F56">
      <w:pPr>
        <w:jc w:val="both"/>
        <w:rPr>
          <w:b/>
          <w:bCs/>
        </w:rPr>
      </w:pPr>
      <w:bookmarkStart w:id="0" w:name="_Toc119552214"/>
      <w:r w:rsidRPr="00AB0D52">
        <w:rPr>
          <w:b/>
          <w:bCs/>
        </w:rPr>
        <w:t xml:space="preserve">       </w:t>
      </w:r>
    </w:p>
    <w:p w:rsidR="00DF4513" w:rsidRPr="00AB0D52" w:rsidRDefault="00DF4513" w:rsidP="00F62F56">
      <w:pPr>
        <w:jc w:val="center"/>
        <w:rPr>
          <w:b/>
          <w:bCs/>
        </w:rPr>
      </w:pPr>
      <w:r w:rsidRPr="00AB0D52">
        <w:rPr>
          <w:b/>
          <w:bCs/>
        </w:rPr>
        <w:t>1. Сущность и основные элементы государственного долга.</w:t>
      </w:r>
      <w:bookmarkEnd w:id="0"/>
    </w:p>
    <w:p w:rsidR="00DF4513" w:rsidRDefault="00DF4513" w:rsidP="00F62F56">
      <w:pPr>
        <w:ind w:firstLine="708"/>
        <w:jc w:val="both"/>
      </w:pPr>
    </w:p>
    <w:p w:rsidR="00DF4513" w:rsidRPr="00AB0D52" w:rsidRDefault="00DF4513" w:rsidP="00F62F56">
      <w:pPr>
        <w:ind w:firstLine="708"/>
        <w:jc w:val="both"/>
      </w:pPr>
      <w:r w:rsidRPr="00AB0D52">
        <w:t>Государственный долг образуется в результате осуществления государственными органами различных видов заимствований. Долг органов государственного управления органичным элементом в системе финансовых отношений, структуре активов и пассивов экономики. В соответствии с Бюджетным кодексом РФ</w:t>
      </w:r>
      <w:r>
        <w:t>,</w:t>
      </w:r>
      <w:r w:rsidRPr="00AB0D52">
        <w:t xml:space="preserve"> “ государственным долгом РФ являются долговые обязательства РФ перед физическими, юридическими лицами, иностранными государствами, международными организациями и иными субъектами международного права”.</w:t>
      </w:r>
    </w:p>
    <w:p w:rsidR="00DF4513" w:rsidRPr="00AB0D52" w:rsidRDefault="00DF4513" w:rsidP="00F62F56">
      <w:pPr>
        <w:ind w:firstLine="708"/>
        <w:jc w:val="both"/>
      </w:pPr>
      <w:r w:rsidRPr="00AB0D52">
        <w:t>Долговые обязательства – это сложная категория, отличающаяся, во-первых, по объектам долговых отношений; во-вторых, по форме образования и обслуживания; в-третьих по срокам обязательств. Основные формы долговых обязательств РФ следующие: кредитные соглашения и договора; государственные ценные бумаги; договора о предоставлении гарантий РФ, договоров поручителей РФ; переоформление долговых обязательств третьих лиц в госдолг РФ; соглашения РФ о пролонгации и реструктуризации долговых обязательств. Во временном разрезе выделяют: краткосрочные (до 1 года), среднесрочные (до 5 лет), долгосрочные (до 30 лет) обязательства.</w:t>
      </w:r>
    </w:p>
    <w:p w:rsidR="00DF4513" w:rsidRPr="00AB0D52" w:rsidRDefault="00DF4513" w:rsidP="00F62F56">
      <w:pPr>
        <w:ind w:firstLine="708"/>
        <w:jc w:val="both"/>
      </w:pPr>
      <w:r w:rsidRPr="00AB0D52">
        <w:t>Увеличение госдолга происходит в результате капитализации процентов по ранее полученным кредитам. Кроме того, он увеличивается вследствие обязательств, принятых государством к исполнению, но по различным причинам не профинансированных в срок.</w:t>
      </w:r>
    </w:p>
    <w:p w:rsidR="00DF4513" w:rsidRPr="00AB0D52" w:rsidRDefault="00DF4513" w:rsidP="00F62F56">
      <w:pPr>
        <w:ind w:firstLine="708"/>
        <w:jc w:val="both"/>
      </w:pPr>
      <w:r w:rsidRPr="00AB0D52">
        <w:t>В общей постановке в проблеме госдолга можно выделить следующие основные аспекты: структура и динамика госдолга; механизм управления, обслуживания и реструктуризации долга; влияние государственного долга на развитие экономики страны.</w:t>
      </w:r>
    </w:p>
    <w:p w:rsidR="00DF4513" w:rsidRPr="00AB0D52" w:rsidRDefault="00DF4513" w:rsidP="00F62F56">
      <w:pPr>
        <w:jc w:val="both"/>
      </w:pPr>
      <w:r w:rsidRPr="00AB0D52">
        <w:t xml:space="preserve">Очевидно, что государство может и должно брать в долг на нормальных, естественных и разумных основах  и условиях. Практически в эффективной, нормально развивающейся, стабильной экономике госдолг не является ключевой проблемой развития и жизнедеятельности общества. Как правило, госдолг возрастает на этапах активного экономического роста, имея ввиду, что развивающаяся экономика, модернизируемое производство требуют определенных вложений, в том числе и государственных. </w:t>
      </w:r>
    </w:p>
    <w:p w:rsidR="00DF4513" w:rsidRPr="00AB0D52" w:rsidRDefault="00DF4513" w:rsidP="000E3EEF">
      <w:pPr>
        <w:ind w:firstLine="708"/>
        <w:jc w:val="both"/>
      </w:pPr>
      <w:r w:rsidRPr="00AB0D52">
        <w:t>Однако госдолг растет и в стагнирующей экономике, в которой спад в течение длительного времени предопределяет все динамические процессы развития макроэкономики. В этом случае основным источником покрытия затрат государства являются монетарные каналы финансирования госдолга, что мы имеем в настоящее время в переходной экономике РФ.</w:t>
      </w:r>
    </w:p>
    <w:p w:rsidR="00DF4513" w:rsidRPr="00AB0D52" w:rsidRDefault="00DF4513" w:rsidP="000E3EEF">
      <w:pPr>
        <w:ind w:firstLine="708"/>
        <w:jc w:val="both"/>
      </w:pPr>
      <w:r w:rsidRPr="00AB0D52">
        <w:t>Сложность объекта требует выработки определенного подхода к классификации состава долга, при этом возможно использование двух подходов: во-первых, использование бюджетной классификации и, во-вторых, использование укрупненных  долговых статей, близких по функциональному назначению.</w:t>
      </w:r>
      <w:r>
        <w:t xml:space="preserve"> </w:t>
      </w:r>
      <w:r w:rsidRPr="00AB0D52">
        <w:t>Данная ключевая классификация на практике дополняется еще рядом классификационных схем, к которым относятся: классификация долга по типу кредитора и по типу долгового обязательства. Классификация долга по типу кредитора имеет следующий вид:</w:t>
      </w:r>
      <w:r>
        <w:t xml:space="preserve"> </w:t>
      </w:r>
      <w:r w:rsidRPr="00AB0D52">
        <w:t>внутренний вид (органам кредитно-денежного регулирования, коммерческим банкам, другим членам государственного сектора, прочим финансовым учреждениям);</w:t>
      </w:r>
      <w:r>
        <w:t xml:space="preserve"> </w:t>
      </w:r>
      <w:r w:rsidRPr="00AB0D52">
        <w:t>внешний долг (международным организациям, органам управления зарубежных государств.</w:t>
      </w:r>
    </w:p>
    <w:p w:rsidR="00DF4513" w:rsidRPr="00AB0D52" w:rsidRDefault="00DF4513" w:rsidP="000E3EEF">
      <w:pPr>
        <w:ind w:firstLine="708"/>
        <w:jc w:val="both"/>
      </w:pPr>
      <w:r w:rsidRPr="00AB0D52">
        <w:t>Классификация по типу долгового обязательства имеет следующий вид: долгосрочные облигации, краткосрочные облигации, векселя, долгосрочные ссуды, не отнесенные к другим категориям, краткосрочные ссуды и векселя, не отнесенные к другим категориям.</w:t>
      </w:r>
    </w:p>
    <w:p w:rsidR="00DF4513" w:rsidRPr="00AB0D52" w:rsidRDefault="00DF4513" w:rsidP="000E3EEF">
      <w:pPr>
        <w:ind w:firstLine="708"/>
        <w:jc w:val="both"/>
      </w:pPr>
      <w:r w:rsidRPr="00AB0D52">
        <w:t>В категорию «госдолг» включаются все признанные долги РФ. Погашение накопленного долга может происходить различными способами: денежными выплатами, обменом долгового обязательства на налоговые освобождения, отказом от уплаты, аннулированием задолженности кредиторов, принятием задолженности другим органом.</w:t>
      </w:r>
    </w:p>
    <w:p w:rsidR="00DF4513" w:rsidRPr="00AB0D52" w:rsidRDefault="00DF4513" w:rsidP="00F62F56">
      <w:pPr>
        <w:jc w:val="both"/>
      </w:pPr>
      <w:r w:rsidRPr="00AB0D52">
        <w:t>Госдолг оценивается по номинальной стоимости, так как он представляет  сумму непогашенных обязательств, выплачиваемую при наступлении срока выплаты. Долг - это состояние (запас), а не движение (поток).Величина госдолга зависит от динамики обменного курса. Если в период между датами определения величин задолженности обменный курс изменился, то переоценка суммы внешнего долга, выраженного в иностранной валюте, в рубли служит одним из факторов изменения общей величины госдолга.</w:t>
      </w:r>
    </w:p>
    <w:p w:rsidR="00DF4513" w:rsidRPr="00AB0D52" w:rsidRDefault="00DF4513" w:rsidP="0043490F">
      <w:pPr>
        <w:ind w:firstLine="708"/>
        <w:jc w:val="both"/>
      </w:pPr>
      <w:r w:rsidRPr="00AB0D52">
        <w:t xml:space="preserve">Структурно госдолг складывается из двух частей: основной долг и непогашенный долг, включающий кроме основного еще и проценты на долговые суммы. К этому надо добавить, что госдолг - это не только  долг непосредственно самого государства, но еще и заимствования внебюджетных фондов всех уровней государственного управления. </w:t>
      </w:r>
    </w:p>
    <w:p w:rsidR="00DF4513" w:rsidRDefault="00DF4513" w:rsidP="0043490F">
      <w:pPr>
        <w:jc w:val="center"/>
        <w:rPr>
          <w:b/>
          <w:bCs/>
        </w:rPr>
      </w:pPr>
      <w:bookmarkStart w:id="1" w:name="_Toc119552215"/>
    </w:p>
    <w:p w:rsidR="00DF4513" w:rsidRDefault="00DF4513" w:rsidP="0043490F">
      <w:pPr>
        <w:jc w:val="center"/>
        <w:rPr>
          <w:b/>
          <w:bCs/>
        </w:rPr>
      </w:pPr>
    </w:p>
    <w:p w:rsidR="00DF4513" w:rsidRDefault="00DF4513" w:rsidP="0043490F">
      <w:pPr>
        <w:jc w:val="center"/>
        <w:rPr>
          <w:b/>
          <w:bCs/>
        </w:rPr>
      </w:pPr>
    </w:p>
    <w:p w:rsidR="00DF4513" w:rsidRDefault="00DF4513" w:rsidP="0043490F">
      <w:pPr>
        <w:jc w:val="center"/>
        <w:rPr>
          <w:b/>
          <w:bCs/>
        </w:rPr>
      </w:pPr>
    </w:p>
    <w:p w:rsidR="00DF4513" w:rsidRPr="00AB0D52" w:rsidRDefault="00DF4513" w:rsidP="0043490F">
      <w:pPr>
        <w:jc w:val="center"/>
        <w:rPr>
          <w:b/>
          <w:bCs/>
        </w:rPr>
      </w:pPr>
      <w:r w:rsidRPr="00AB0D52">
        <w:rPr>
          <w:b/>
          <w:bCs/>
        </w:rPr>
        <w:t>2. Динамика внешнего долга России.</w:t>
      </w:r>
      <w:bookmarkEnd w:id="1"/>
    </w:p>
    <w:p w:rsidR="00DF4513" w:rsidRDefault="00DF4513" w:rsidP="00F62F56">
      <w:pPr>
        <w:jc w:val="both"/>
      </w:pPr>
    </w:p>
    <w:p w:rsidR="00DF4513" w:rsidRPr="00AB0D52" w:rsidRDefault="00DF4513" w:rsidP="0043490F">
      <w:pPr>
        <w:ind w:firstLine="708"/>
        <w:jc w:val="both"/>
      </w:pPr>
      <w:r w:rsidRPr="00AB0D52">
        <w:t>Около 45% внешних обязательств приходится на долговые обязательства бывшего СССР перед странами-членами Парижского клуба и другими странами - официальными кредиторами. Данные обязательства не являются рыночными. В связи с этим при управлении этой частью долга невозможно использование преимуществ текущей ситуации на финансовых рынках.</w:t>
      </w:r>
      <w:r>
        <w:t xml:space="preserve"> В законе о федеральном бюджете РФ на 2006год предельный размер государственного внешнего долга на 1 января 2007 года установлен в размере 79.2 млрд.долл. США.</w:t>
      </w:r>
    </w:p>
    <w:p w:rsidR="00DF4513" w:rsidRPr="00AB0D52" w:rsidRDefault="00DF4513" w:rsidP="00F62F56">
      <w:pPr>
        <w:jc w:val="both"/>
        <w:rPr>
          <w:b/>
          <w:bCs/>
        </w:rPr>
      </w:pPr>
      <w:bookmarkStart w:id="2" w:name="_Toc119552216"/>
    </w:p>
    <w:p w:rsidR="00DF4513" w:rsidRPr="00AB0D52" w:rsidRDefault="00DF4513" w:rsidP="0043490F">
      <w:pPr>
        <w:jc w:val="center"/>
        <w:rPr>
          <w:b/>
          <w:bCs/>
        </w:rPr>
      </w:pPr>
      <w:r w:rsidRPr="00AB0D52">
        <w:rPr>
          <w:b/>
          <w:bCs/>
        </w:rPr>
        <w:t>2.1 Россия – правопреемник внешнего долга СССР</w:t>
      </w:r>
      <w:bookmarkEnd w:id="2"/>
      <w:r w:rsidRPr="00AB0D52">
        <w:rPr>
          <w:b/>
          <w:bCs/>
        </w:rPr>
        <w:t>.</w:t>
      </w:r>
    </w:p>
    <w:p w:rsidR="00DF4513" w:rsidRDefault="00DF4513" w:rsidP="00F62F56">
      <w:pPr>
        <w:jc w:val="both"/>
      </w:pPr>
    </w:p>
    <w:p w:rsidR="00DF4513" w:rsidRDefault="00DF4513" w:rsidP="00BB4DA1">
      <w:pPr>
        <w:ind w:firstLine="708"/>
        <w:jc w:val="both"/>
      </w:pPr>
      <w:r w:rsidRPr="00AB0D52">
        <w:t>Наиболее высокими темпами внешняя задолженности бывшего СССР росла в 1985-1991 годах, когда темп прироста государственного внешнего долга превысил 120%, а абсолютная сумма задолженности увеличилась с 31,3 млрд. долларов США до 70,3 млрд. долларов США</w:t>
      </w:r>
      <w:r>
        <w:t xml:space="preserve">. </w:t>
      </w:r>
      <w:r w:rsidRPr="00AB0D52">
        <w:t>Правительством бывшего СССР активно привлекались как связанные банковские кредиты, предназначенные для финансирования закупок импортного оборудования, продовольствия, продуктов питания, медикаментов и других товаров, необходимых для обеспечения жизнедеятельности населения страны, так и свободные средства для покрытия текущих потребностей бюджета в форме финансовых кредитов и внешних облигационных займов. В этот период задолженность по банковским кредитам выросла на 81%, по финансовым кредитам - на 176%, а задолженность по внешним облигационным займам увеличилась в 6 раз.</w:t>
      </w:r>
      <w:r>
        <w:t xml:space="preserve"> </w:t>
      </w:r>
      <w:r w:rsidRPr="00AB0D52">
        <w:t>В конце 1991 года, в связи с нарастанием кризисных процессов в экономике страны платежи в погашение внешней задолженности бывшего СССР были приостановлены.</w:t>
      </w:r>
      <w:r>
        <w:t xml:space="preserve"> </w:t>
      </w:r>
    </w:p>
    <w:p w:rsidR="00DF4513" w:rsidRPr="00AB0D52" w:rsidRDefault="00DF4513" w:rsidP="001E5B62">
      <w:pPr>
        <w:ind w:firstLine="708"/>
        <w:jc w:val="both"/>
      </w:pPr>
      <w:r w:rsidRPr="00AB0D52">
        <w:t>По состоянию на 1 января 1992 года задолженность перед правительствами иностранных государств составила 61,8 млрд. долларов США.</w:t>
      </w:r>
      <w:r>
        <w:t xml:space="preserve"> </w:t>
      </w:r>
      <w:r w:rsidRPr="00AB0D52">
        <w:t xml:space="preserve">При анализе состояния государственного внешнего долга необходимо учитывать такой немаловажный фактор, как решение Российской Федерации взять на себя ответственность за весь внешний долг бывшего СССР, при условии перехода к ней прав на внешние активы. Российская Федерация стала правопреемником бывшего СССР после его распада, то есть взяла на себя активы и обязательства по внешнему долгу в обмен на их отказ от причитающейся им доли зарубежных активов. </w:t>
      </w:r>
    </w:p>
    <w:p w:rsidR="00DF4513" w:rsidRPr="00AB0D52" w:rsidRDefault="00DF4513" w:rsidP="00BB4DA1">
      <w:pPr>
        <w:ind w:firstLine="708"/>
        <w:jc w:val="both"/>
      </w:pPr>
      <w:r w:rsidRPr="00AB0D52">
        <w:t xml:space="preserve">Заявление Правительства Российской Федерации от 2 апреля 1993 года о намерении погашать в полном объеме внешний долг бывшего СССР явилось юридическим закреплением сложившегося положения, когда только Россия погашала внешний государственный долга бывшего СССР, поскольку другие государства - бывшие союзные республики - фактически отказались от ранее взятых обязательств осуществлять платежи в погашение задолженности в соответствии с долей каждой республики в экономике бывшего СССР.В апреле 1993 года внешние кредиторы официально признали Россию единственным государством, ответственным по всему внешнему долгу бывшего СССР. </w:t>
      </w:r>
    </w:p>
    <w:p w:rsidR="00DF4513" w:rsidRDefault="00DF4513" w:rsidP="00F62F56">
      <w:pPr>
        <w:jc w:val="both"/>
        <w:rPr>
          <w:b/>
          <w:bCs/>
        </w:rPr>
      </w:pPr>
      <w:bookmarkStart w:id="3" w:name="_Toc119552217"/>
    </w:p>
    <w:p w:rsidR="00DF4513" w:rsidRPr="00AB0D52" w:rsidRDefault="00DF4513" w:rsidP="00BB4DA1">
      <w:pPr>
        <w:jc w:val="center"/>
        <w:rPr>
          <w:b/>
          <w:bCs/>
        </w:rPr>
      </w:pPr>
      <w:r w:rsidRPr="00AB0D52">
        <w:rPr>
          <w:b/>
          <w:bCs/>
        </w:rPr>
        <w:t>2.2 Динамика объемов и структуры внешнего долга РФ.</w:t>
      </w:r>
      <w:bookmarkEnd w:id="3"/>
    </w:p>
    <w:p w:rsidR="00DF4513" w:rsidRDefault="00DF4513" w:rsidP="00F62F56">
      <w:pPr>
        <w:jc w:val="both"/>
      </w:pPr>
    </w:p>
    <w:p w:rsidR="00DF4513" w:rsidRPr="00AB0D52" w:rsidRDefault="00DF4513" w:rsidP="00BB4DA1">
      <w:pPr>
        <w:ind w:firstLine="708"/>
        <w:jc w:val="both"/>
      </w:pPr>
      <w:r w:rsidRPr="00AB0D52">
        <w:t>Наиболее высокие объемы внешней задолженности Российской Федерации в период с 1995 по 2003 год были в начале 1999 и 2000 годов.</w:t>
      </w:r>
    </w:p>
    <w:p w:rsidR="00DF4513" w:rsidRPr="00AB0D52" w:rsidRDefault="00DF4513" w:rsidP="00F62F56">
      <w:pPr>
        <w:jc w:val="both"/>
      </w:pPr>
      <w:r w:rsidRPr="00AB0D52">
        <w:t>По состоянию на начало 1995 года внешний долг Российской Федерации, принятый от бывшего СССР, составлял 108,6 млрд. долларов США, или 90,6% от общего объема государственного внешнего долга.</w:t>
      </w:r>
    </w:p>
    <w:p w:rsidR="00DF4513" w:rsidRPr="00AB0D52" w:rsidRDefault="00DF4513" w:rsidP="00F62F56">
      <w:pPr>
        <w:jc w:val="both"/>
      </w:pPr>
      <w:r w:rsidRPr="00AB0D52">
        <w:t>В период с 1995 по 1998 год при практически неизменной задолженности по основному долгу СССР, общий объем внешнего долга Российской Федерации увеличился до 149,3 млрд. долларов США.</w:t>
      </w:r>
    </w:p>
    <w:p w:rsidR="00DF4513" w:rsidRPr="00AB0D52" w:rsidRDefault="00DF4513" w:rsidP="00A46AA0">
      <w:pPr>
        <w:ind w:firstLine="708"/>
        <w:jc w:val="both"/>
      </w:pPr>
      <w:r w:rsidRPr="00AB0D52">
        <w:t>По состоянию на 1 января 2004 года внешний долг практически соответствовал основной сумме долга на 1 января 1995 года и составлял 119,8 млрд. долларов США.</w:t>
      </w:r>
      <w:r>
        <w:t xml:space="preserve"> </w:t>
      </w:r>
      <w:r w:rsidRPr="00AB0D52">
        <w:t>После кризис 1998 года, начиная 1999 года, Россия начала постепенное сокращение внешнего долга, в том числе замещая его внутренним долгом.</w:t>
      </w:r>
      <w:r>
        <w:t xml:space="preserve"> </w:t>
      </w:r>
      <w:r w:rsidRPr="00AB0D52">
        <w:t xml:space="preserve">Данные об изменениях объема и структуры государственного внешнего долга в 2000-2003 годах. </w:t>
      </w:r>
      <w:bookmarkStart w:id="4" w:name="_Toc119552218"/>
    </w:p>
    <w:p w:rsidR="00DF4513" w:rsidRDefault="00DF4513" w:rsidP="001E5B62">
      <w:pPr>
        <w:jc w:val="center"/>
        <w:rPr>
          <w:b/>
          <w:bCs/>
        </w:rPr>
      </w:pPr>
    </w:p>
    <w:p w:rsidR="00DF4513" w:rsidRPr="00AB0D52" w:rsidRDefault="00DF4513" w:rsidP="001E5B62">
      <w:pPr>
        <w:jc w:val="center"/>
      </w:pPr>
      <w:r w:rsidRPr="00AB0D52">
        <w:rPr>
          <w:b/>
          <w:bCs/>
        </w:rPr>
        <w:t>2.3 Задолженность по кредитам правительств иностранных государств.</w:t>
      </w:r>
      <w:bookmarkEnd w:id="4"/>
    </w:p>
    <w:p w:rsidR="00DF4513" w:rsidRDefault="00DF4513" w:rsidP="00F62F56">
      <w:pPr>
        <w:jc w:val="both"/>
      </w:pPr>
    </w:p>
    <w:p w:rsidR="00DF4513" w:rsidRPr="00AB0D52" w:rsidRDefault="00DF4513" w:rsidP="001E5B62">
      <w:pPr>
        <w:ind w:firstLine="708"/>
        <w:jc w:val="both"/>
      </w:pPr>
      <w:r w:rsidRPr="00AB0D52">
        <w:t>Задолженность Российской Федерации по кредитам правительств иностранных государств по состоянию на 1 января 2004 года, составила 54,7 млрд. долларов США, или 45,7% от общей суммы долга.</w:t>
      </w:r>
    </w:p>
    <w:p w:rsidR="00DF4513" w:rsidRPr="00AB0D52" w:rsidRDefault="00DF4513" w:rsidP="00F62F56">
      <w:pPr>
        <w:jc w:val="both"/>
      </w:pPr>
      <w:r w:rsidRPr="00AB0D52">
        <w:t>За период с 2000 по 2003 год объем этой задолженности изменился незначительно, поскольку большие объёмы погашений долга были скомпенсированы новыми заимствованиями.</w:t>
      </w:r>
    </w:p>
    <w:p w:rsidR="00DF4513" w:rsidRPr="00AB0D52" w:rsidRDefault="00DF4513" w:rsidP="00F62F56">
      <w:pPr>
        <w:jc w:val="both"/>
        <w:rPr>
          <w:b/>
          <w:bCs/>
        </w:rPr>
      </w:pPr>
      <w:bookmarkStart w:id="5" w:name="_Toc119552219"/>
    </w:p>
    <w:p w:rsidR="00DF4513" w:rsidRPr="00AB0D52" w:rsidRDefault="00DF4513" w:rsidP="001E5B62">
      <w:pPr>
        <w:jc w:val="center"/>
        <w:rPr>
          <w:b/>
          <w:bCs/>
        </w:rPr>
      </w:pPr>
      <w:r w:rsidRPr="00AB0D52">
        <w:rPr>
          <w:b/>
          <w:bCs/>
        </w:rPr>
        <w:t>2.4 Задолженность перед странами «Парижского клуба».</w:t>
      </w:r>
      <w:bookmarkEnd w:id="5"/>
    </w:p>
    <w:p w:rsidR="00DF4513" w:rsidRDefault="00DF4513" w:rsidP="00F62F56">
      <w:pPr>
        <w:jc w:val="both"/>
      </w:pPr>
    </w:p>
    <w:p w:rsidR="00DF4513" w:rsidRPr="00AB0D52" w:rsidRDefault="00DF4513" w:rsidP="00334CEE">
      <w:pPr>
        <w:ind w:firstLine="708"/>
        <w:jc w:val="both"/>
      </w:pPr>
      <w:r w:rsidRPr="00AB0D52">
        <w:t>Задолженность перед странами – членами Парижского клуба кредиторов (далее ПКК) по состоянию на 1 января 2004 года составил 44,7 млрд. долларов США, или 39,8% от общего объема государственного внешнего долга Российской Федерации.</w:t>
      </w:r>
    </w:p>
    <w:p w:rsidR="00DF4513" w:rsidRPr="00AB0D52" w:rsidRDefault="00DF4513" w:rsidP="00334CEE">
      <w:pPr>
        <w:ind w:firstLine="708"/>
        <w:jc w:val="both"/>
      </w:pPr>
      <w:r w:rsidRPr="00AB0D52">
        <w:t>Данный долг сформирован кредитами, предоставленными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организациями. В ПКК входят 18 стран. Россия является его участником с сентября 1997 года. При этом Россия является одновременно должником одних из этих стран и кредитором других.</w:t>
      </w:r>
    </w:p>
    <w:p w:rsidR="00DF4513" w:rsidRPr="00AB0D52" w:rsidRDefault="00DF4513" w:rsidP="00334CEE">
      <w:pPr>
        <w:ind w:firstLine="708"/>
        <w:jc w:val="both"/>
      </w:pPr>
      <w:r w:rsidRPr="00AB0D52">
        <w:t xml:space="preserve">Первоначально объем долга России составлял 30,4 млрд. долларов США, а в случае выполнения другими странами бывшего СССР своих долей обязательств по платежам снижался до 18,5 млрд. долларов США. </w:t>
      </w:r>
    </w:p>
    <w:p w:rsidR="00DF4513" w:rsidRPr="00AB0D52" w:rsidRDefault="00DF4513" w:rsidP="00246DD4">
      <w:pPr>
        <w:jc w:val="both"/>
      </w:pPr>
      <w:r w:rsidRPr="00AB0D52">
        <w:t>В результате переговоров 1992-1993 года России удалось подписать с членами ПКК соглашение о среднесрочной реструктуризации внешнего долга бывшего СССР. Реструктуризации подлежали платежи, срочные к погашению в 1992-1993 годах, с общим периодом рассрочки 10 лет. В целом это позволило сократить объём ежегодных выплат с увеличением их общего срока. С аналогичными целями, соответственно в 1994 и 1995 году, были получены отсрочки:</w:t>
      </w:r>
      <w:r>
        <w:t xml:space="preserve"> </w:t>
      </w:r>
      <w:r w:rsidRPr="00AB0D52">
        <w:t>по платежам 1994 года в размере 17,5 млрд. долларов США – до 2010 года;</w:t>
      </w:r>
      <w:r>
        <w:t xml:space="preserve"> </w:t>
      </w:r>
      <w:r w:rsidRPr="00AB0D52">
        <w:t>по платежам 1995 года –</w:t>
      </w:r>
      <w:r>
        <w:t xml:space="preserve"> до 2011 года.</w:t>
      </w:r>
      <w:r w:rsidRPr="00AB0D52">
        <w:t xml:space="preserve">Кроме того, в конце 1995 года страны-кредиторы официально выразили согласие с предложением российской стороны перейти от реструктуризации задолженности по частям (в привязке к выплатам конкретного года) к глобальной (многолетней) реструктуризации задолженности России перед Парижским клубом. </w:t>
      </w:r>
    </w:p>
    <w:p w:rsidR="00DF4513" w:rsidRPr="00AB0D52" w:rsidRDefault="00DF4513" w:rsidP="00334CEE">
      <w:pPr>
        <w:ind w:firstLine="708"/>
        <w:jc w:val="both"/>
      </w:pPr>
      <w:r w:rsidRPr="00AB0D52">
        <w:t xml:space="preserve">Была разработана технология учета и погашения задолженности. Согласно условиям указанной договоренности, совокупная задолженность России странам-членам Парижского клуба, подлежащая переоформлению на новых условиях, составляла около 33 млрд. долларов США и включала практически весь долг, реструктуризированный по ранее подписанным соглашениям. 45% этой суммы должны быть погашены до 2020 года, а остальные 55%, в которые входит вся краткосрочная задолженность перед кредиторами Парижского клуба, - до 2016 года. Отсроченный основной долг подлежал погашению нарастающими суммами, начиная с 2002 года. </w:t>
      </w:r>
    </w:p>
    <w:p w:rsidR="00DF4513" w:rsidRPr="00AB0D52" w:rsidRDefault="00DF4513" w:rsidP="00F62F56">
      <w:pPr>
        <w:jc w:val="both"/>
      </w:pPr>
      <w:r w:rsidRPr="00AB0D52">
        <w:t xml:space="preserve">После августа 1998 года выплаты были приостановлены, что привело к накоплению просроченных платежей на сумму около 0,8 млрд. долларов США. На саммите «большой семерки» в Германии в июне 1999 года было принято решение о предоставлении Российской Федерации отсрочки по просроченным платежам на период до 2020 года. В результате реструктуризации с соответствующим увеличением объёма долга совокупная задолженность России перед членами ПКК выросла к началу 2002 года до 36,3 млрд. долларов США. </w:t>
      </w:r>
    </w:p>
    <w:p w:rsidR="00DF4513" w:rsidRDefault="00DF4513" w:rsidP="003854F5">
      <w:pPr>
        <w:jc w:val="center"/>
        <w:rPr>
          <w:b/>
          <w:bCs/>
        </w:rPr>
      </w:pPr>
      <w:bookmarkStart w:id="6" w:name="_Toc119552220"/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2.5 Задолженность кредиторам - не членам Парижского клуба.</w:t>
      </w:r>
      <w:bookmarkEnd w:id="6"/>
    </w:p>
    <w:p w:rsidR="00DF4513" w:rsidRDefault="00DF4513" w:rsidP="00F62F56">
      <w:pPr>
        <w:jc w:val="both"/>
      </w:pPr>
    </w:p>
    <w:p w:rsidR="00DF4513" w:rsidRPr="00AB0D52" w:rsidRDefault="00DF4513" w:rsidP="003854F5">
      <w:pPr>
        <w:ind w:firstLine="708"/>
        <w:jc w:val="both"/>
      </w:pPr>
      <w:r w:rsidRPr="00AB0D52">
        <w:t>По состоянию на 1 января 2004 года задолженность перед странами кредиторами - не членами Парижского клуба кредиторов составило 3,6 млрд. долларов США, или 3,0% от общей суммы внешнего долга Российской Федерации на указанную дату. По сравнению с состоянием на 1 января 2000 года указанный вид долговых обязательств сократился на 0,1 млрд. долларов США.</w:t>
      </w:r>
    </w:p>
    <w:p w:rsidR="00DF4513" w:rsidRPr="00AB0D52" w:rsidRDefault="00DF4513" w:rsidP="00994820">
      <w:pPr>
        <w:ind w:firstLine="708"/>
        <w:jc w:val="both"/>
      </w:pPr>
      <w:r w:rsidRPr="00AB0D52">
        <w:t>По состоянию на 1 января 2003 года задолженность Российской Федерации перед странами - не членами Парижского клуба кредиторов составила 3,4 млрд. долларов США и 0,14 млрд. клиринговых фунтов стерлингов (задолженность перед Египтом) по основному долгу и 0,5 млрд. долларов США по начисленным процентам. При этом задолженность бывшего СССР составила 3,3 млрд. долларов США и 0,14 млрд. клиринговых фунтов стерлингов по основному долгу и 0,5 млрд. долларов США по начисленным процентам. Новый российский долг составил 0,11 млрд. долларов США по основному долгу и 0,01 млрд. долларов США по начисленным процентам.</w:t>
      </w:r>
    </w:p>
    <w:p w:rsidR="00DF4513" w:rsidRDefault="00DF4513" w:rsidP="00994820">
      <w:pPr>
        <w:ind w:firstLine="708"/>
        <w:jc w:val="both"/>
      </w:pPr>
      <w:r w:rsidRPr="00AB0D52">
        <w:t>С Республикой Корея, Восточной Республикой Уругвай и Объединенными Арабскими Эмиратами были достигнуты договорённости о погашении долга товарными поставками.</w:t>
      </w:r>
      <w:r>
        <w:t xml:space="preserve"> </w:t>
      </w:r>
      <w:r w:rsidRPr="00AB0D52">
        <w:t xml:space="preserve">По состоянию на 1 января 2004 года объем задолженности перед странами - бывшими членами СЭВ составил 3,4 млрд. долларов США и по сравнению с состоянием на 1 января 2000 года сократился более чем в 4,2 раза. Оставшаяся задолженность гасится в основном товарными поставками. </w:t>
      </w:r>
    </w:p>
    <w:p w:rsidR="00DF4513" w:rsidRDefault="00DF4513" w:rsidP="00994820">
      <w:pPr>
        <w:ind w:firstLine="708"/>
        <w:jc w:val="both"/>
        <w:rPr>
          <w:b/>
          <w:bCs/>
        </w:rPr>
      </w:pPr>
      <w:r w:rsidRPr="00AB0D52">
        <w:t xml:space="preserve">Кроме осуществления денежных расчетов и погашения государственного внешнего долга товарными поставками, при погашении внешнего долга Российской Федерации перед бывшим странам-членам СЭВ активно использовались механизмы уступки прав и расчетов с дисконтированием задолженности. </w:t>
      </w:r>
      <w:bookmarkStart w:id="7" w:name="_Toc119552221"/>
    </w:p>
    <w:p w:rsidR="00DF4513" w:rsidRDefault="00DF4513" w:rsidP="003854F5">
      <w:pPr>
        <w:jc w:val="center"/>
        <w:rPr>
          <w:b/>
          <w:bCs/>
        </w:rPr>
      </w:pPr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2.6 Лондонский клуб кредиторов.</w:t>
      </w:r>
      <w:bookmarkEnd w:id="7"/>
    </w:p>
    <w:p w:rsidR="00DF4513" w:rsidRDefault="00DF4513" w:rsidP="00F62F56">
      <w:pPr>
        <w:jc w:val="both"/>
      </w:pPr>
    </w:p>
    <w:p w:rsidR="00DF4513" w:rsidRPr="00AB0D52" w:rsidRDefault="00DF4513" w:rsidP="00146C8E">
      <w:pPr>
        <w:ind w:firstLine="708"/>
        <w:jc w:val="both"/>
      </w:pPr>
      <w:r w:rsidRPr="00AB0D52">
        <w:t xml:space="preserve">Коммерческие иностранные банки и фирмы, являющиеся кредиторами России, объединены в Лондонский клуб кредиторов. В него входят около 1000 крупных зарубежных коммерческих банков. Данные кредиторы не находятся под защитой гарантии или страхования на государственном уровне. Кредиты предоставлялись в советское время Внешэкономбанку, а также через векселя, использовавшиеся во внешнеторговых расчетах на условиях а-форфэ (покупка без права оборота). </w:t>
      </w:r>
    </w:p>
    <w:p w:rsidR="00DF4513" w:rsidRPr="00AB0D52" w:rsidRDefault="00DF4513" w:rsidP="00146C8E">
      <w:pPr>
        <w:ind w:firstLine="708"/>
        <w:jc w:val="both"/>
      </w:pPr>
      <w:r w:rsidRPr="00AB0D52">
        <w:t>В результате переговоров, продлившихся с 1991 года по 1995 год, российский долг объёмом 32,3 млрд. долларов США, из которых 8,3 млрд. долларов США составили проценты, был реструктурирован сроком на 25 лет с семилетним льготным периодом, в течение которого выплачиваются лишь проценты по льготной ставке. Решено было реструктурировать весь долг вне зависимости от даты погашения, и сделать разбивку по невыплаченным процентам: отдельно за 1991-1992 годы, за 1993-1995 годы, за 1996 и 1997 годы. В конце 1997 года Россия реструктуризировала основной долг в безбумажные процентные облигации (PRIN), а проценты частично были переоформлены в бумажные процентные облигации (IАN), эмитентом которых являлся Внешэкономбанк.</w:t>
      </w:r>
    </w:p>
    <w:p w:rsidR="00DF4513" w:rsidRPr="00AB0D52" w:rsidRDefault="00DF4513" w:rsidP="00146C8E">
      <w:pPr>
        <w:ind w:firstLine="708"/>
        <w:jc w:val="both"/>
      </w:pPr>
      <w:r w:rsidRPr="00AB0D52">
        <w:t xml:space="preserve">В начале 2000 года 22,2 млрд. долларов США составляла задолженность по PRIN и 6,8 млрд. долларов США – по IAN (накопленные проценты), а так же 2,8 млрд. долларов США – по PDI (требования по просроченным процентам, рассчитанные по состоянию на 31 марта 2000 года). </w:t>
      </w:r>
    </w:p>
    <w:p w:rsidR="00DF4513" w:rsidRPr="00AB0D52" w:rsidRDefault="00DF4513" w:rsidP="00146C8E">
      <w:pPr>
        <w:ind w:firstLine="708"/>
        <w:jc w:val="both"/>
      </w:pPr>
      <w:r w:rsidRPr="00AB0D52">
        <w:t>Тогда же Россия предложила инвесторам обменять задолженность по PRIN 30-летние еврооблигации со списанием 36,5% номинальной суммы долга, по IAN – на 30-летние еврооблигации со списанием 33% номинала. Вместо PDI кредиторам предлагались еврооблигации, погашаемые в течение 10 лет, с шестилетним льготным периодом и купонным доходом в размере 8,25% годовых. На дату юридического вступления в силу сделки по обмену произведен наличный платеж в сумме примерно 9,5% от номинала этих десятилетних облигаций. Все PRINs и IANs были обменены на еврооблигации по номинальной стоимости на сумму 1,8 млрд. долларов США.</w:t>
      </w:r>
    </w:p>
    <w:p w:rsidR="00DF4513" w:rsidRPr="00AB0D52" w:rsidRDefault="00DF4513" w:rsidP="00146C8E">
      <w:pPr>
        <w:ind w:firstLine="708"/>
        <w:jc w:val="both"/>
      </w:pPr>
      <w:r w:rsidRPr="00AB0D52">
        <w:t>Задолженность по начисленным, но не выплаченным, процентам за период по 31 марта 2000 года на сумму 2,8 млрд. долларов США была обменена на еврооблигации с датой погашения в 2010 году практически по номинальной стоимости.</w:t>
      </w:r>
    </w:p>
    <w:p w:rsidR="00DF4513" w:rsidRPr="00AB0D52" w:rsidRDefault="00DF4513" w:rsidP="00146C8E">
      <w:pPr>
        <w:ind w:firstLine="708"/>
        <w:jc w:val="both"/>
      </w:pPr>
      <w:r w:rsidRPr="00AB0D52">
        <w:t>К 2000 году задолженность Российской Федерации по долгам бывшего СССР была полностью переоформлена в еврооблигации Российской Федерации.</w:t>
      </w:r>
    </w:p>
    <w:p w:rsidR="00DF4513" w:rsidRDefault="00DF4513" w:rsidP="00F62F56">
      <w:pPr>
        <w:jc w:val="both"/>
        <w:rPr>
          <w:b/>
          <w:bCs/>
        </w:rPr>
      </w:pPr>
      <w:bookmarkStart w:id="8" w:name="_Toc119552222"/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2.7 Коммерческая задолженность.</w:t>
      </w:r>
      <w:bookmarkEnd w:id="8"/>
    </w:p>
    <w:p w:rsidR="00DF4513" w:rsidRDefault="00DF4513" w:rsidP="00F62F56">
      <w:pPr>
        <w:jc w:val="both"/>
      </w:pPr>
    </w:p>
    <w:p w:rsidR="00DF4513" w:rsidRPr="00AB0D52" w:rsidRDefault="00DF4513" w:rsidP="00BC5FC0">
      <w:pPr>
        <w:ind w:firstLine="708"/>
        <w:jc w:val="both"/>
      </w:pPr>
      <w:r w:rsidRPr="00AB0D52">
        <w:t>В коммерческую задолженность включают: коммерческие кредиты (контракты с рассрочкой платежа, краткосрочные и среднесрочные коммерческие кредиты, подтвержденные траттами и векселями, тратты и векселя с платежом по предъявлении);</w:t>
      </w:r>
      <w:r>
        <w:t xml:space="preserve"> </w:t>
      </w:r>
      <w:r w:rsidRPr="00AB0D52">
        <w:t>аккредитивы (отзывные и безотзывные, включая аккредитивы с рассрочкой платежа);</w:t>
      </w:r>
      <w:r>
        <w:t xml:space="preserve"> </w:t>
      </w:r>
      <w:r w:rsidRPr="00AB0D52">
        <w:t>инкассо.</w:t>
      </w:r>
    </w:p>
    <w:p w:rsidR="00DF4513" w:rsidRPr="00AB0D52" w:rsidRDefault="00DF4513" w:rsidP="00F62F56">
      <w:pPr>
        <w:jc w:val="both"/>
      </w:pPr>
      <w:r w:rsidRPr="00AB0D52">
        <w:t>Её объем на 1 января 2004 года оценивается в 3,8 млрд. долларов США. В 1991 году негарантированная коммерческая задолженность СССР составляла более 6 млрд. долларов США.</w:t>
      </w:r>
    </w:p>
    <w:p w:rsidR="00DF4513" w:rsidRPr="00AB0D52" w:rsidRDefault="00DF4513" w:rsidP="00DB0477">
      <w:pPr>
        <w:ind w:firstLine="708"/>
        <w:jc w:val="both"/>
      </w:pPr>
      <w:r w:rsidRPr="00AB0D52">
        <w:t>Коммерческая задолженность была создана в 1989-1991 годах государственными предприятиями, представлявшими интересы Правительства Российской Федерации, союзных министерств и ведомств, а также иными организациями, получивших к тому времени право осуществления внешнеторговой деятельности.</w:t>
      </w:r>
      <w:r>
        <w:t xml:space="preserve"> </w:t>
      </w:r>
      <w:r w:rsidRPr="00AB0D52">
        <w:t>Данный вид задолженности был признан Россией в 1994 году, а реальные переговоры начались в конце1996 года. При этом ещё в 1994 году, половина задолженности была передана в Парижский и Лондонский клубы. Оставшаяся часть была сгруппирована по страновым группам (клубам). На сегодняшний день их 14: датский (агент – EKF), бельгийский (OFN), французский (Eurobank), итальянский (Mediocredito Centrale), корейский (Seoul Club), финский (FIMET), шведский (STC Group), английский (Morgan Grenfell), австрийский (Prisma), голландский (FSNUC), японский (TCGJ), немецкий (Hermes) и чешско-словацкий (смешанная торговая палата «Восток»). Кроме того, осталось 9 индивидуальных японских кредиторов, крупнейшие из которых Marubeni Corp. И Nissho Iwai Corp.</w:t>
      </w:r>
    </w:p>
    <w:p w:rsidR="00DF4513" w:rsidRPr="00AB0D52" w:rsidRDefault="00DF4513" w:rsidP="00DB0477">
      <w:pPr>
        <w:ind w:firstLine="708"/>
        <w:jc w:val="both"/>
      </w:pPr>
      <w:r w:rsidRPr="00AB0D52">
        <w:t>Несмотря на то, что после распада СССР прошло много времени и инвентаризация задолженности была весьма затруднительна в конце 2002 года Россия урегулировала подавляющую часть коммерческой задолженности бывшего СССР. Оценка неурегулированной части – 0,7 млрд. долларов США.</w:t>
      </w:r>
    </w:p>
    <w:p w:rsidR="00DF4513" w:rsidRDefault="00DF4513" w:rsidP="00F62F56">
      <w:pPr>
        <w:jc w:val="both"/>
        <w:rPr>
          <w:b/>
          <w:bCs/>
        </w:rPr>
      </w:pPr>
      <w:bookmarkStart w:id="9" w:name="_Toc119552223"/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2.8 Облигации внутреннего государственного валютного займа.</w:t>
      </w:r>
      <w:bookmarkEnd w:id="9"/>
    </w:p>
    <w:p w:rsidR="00DF4513" w:rsidRDefault="00DF4513" w:rsidP="00F62F56">
      <w:pPr>
        <w:jc w:val="both"/>
      </w:pPr>
    </w:p>
    <w:p w:rsidR="00DF4513" w:rsidRPr="00AB0D52" w:rsidRDefault="00DF4513" w:rsidP="00D40542">
      <w:pPr>
        <w:ind w:firstLine="708"/>
        <w:jc w:val="both"/>
      </w:pPr>
      <w:r w:rsidRPr="00AB0D52">
        <w:t>Согласно решению государственных органов все остатки средств на счетах во Внешэкономбанке были заблокированы по состоянию на 1 января 1992 года и обменены позже на облигации внутреннего государственного валютного займа (ОВГВЗ). Эмитентом является Министерство финансов Российской Федерации. Облигации номинированы в долларах США. Номинал облигаций – одна, десять и сто тысяч долларов США. Купонная ставка – 3% годовых, начисляется ежегодно 14 мая. Сроки погашения – 1 год, 3 года, 6, 10 и 15 лет. Дата выпуска займа – 14 мая 1993 года. Дата дополнительного выпуска – 14 мая 1996 года</w:t>
      </w:r>
      <w:r>
        <w:t>.</w:t>
      </w:r>
      <w:r w:rsidRPr="00AB0D52">
        <w:t xml:space="preserve">После кризиса 1998 года непогашенные выпуски (начиная с </w:t>
      </w:r>
      <w:r w:rsidRPr="00AB0D52">
        <w:rPr>
          <w:lang w:val="en-US"/>
        </w:rPr>
        <w:t>III</w:t>
      </w:r>
      <w:r w:rsidRPr="00AB0D52">
        <w:t>-го) ОВГВЗ были переоформлены в ОГВЗ. При этом Минфин России перевел средства в оплату купонов по всем траншам ОВГВЗ.</w:t>
      </w:r>
    </w:p>
    <w:p w:rsidR="00DF4513" w:rsidRPr="00AB0D52" w:rsidRDefault="00DF4513" w:rsidP="00D40542">
      <w:pPr>
        <w:ind w:firstLine="708"/>
        <w:jc w:val="both"/>
      </w:pPr>
      <w:r w:rsidRPr="00AB0D52">
        <w:t>Необходимо отметить, что ОВГВЗ 6 и 7 транши в размере 3,5 млрд. долларов США не были выпущены для погашения задолженности бывшего СССР, а размещались для привлечения в федеральный бюджет свободных ресурсов рынка для обеспечения расходной части бюджета.</w:t>
      </w:r>
    </w:p>
    <w:p w:rsidR="00DF4513" w:rsidRPr="00AB0D52" w:rsidRDefault="00DF4513" w:rsidP="00F62F56">
      <w:pPr>
        <w:jc w:val="both"/>
      </w:pPr>
      <w:r w:rsidRPr="00AB0D52">
        <w:t>По состоянию на 1 января 2004 года задолженность по ОВГВЗ и ОГВЗ составила 7,3 млрд. долларов США</w:t>
      </w:r>
    </w:p>
    <w:p w:rsidR="00DF4513" w:rsidRDefault="00DF4513" w:rsidP="003854F5">
      <w:pPr>
        <w:jc w:val="center"/>
        <w:rPr>
          <w:b/>
          <w:bCs/>
        </w:rPr>
      </w:pPr>
      <w:bookmarkStart w:id="10" w:name="_Toc119552224"/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2.9 Еврооблигации.</w:t>
      </w:r>
      <w:bookmarkEnd w:id="10"/>
    </w:p>
    <w:p w:rsidR="00DF4513" w:rsidRDefault="00DF4513" w:rsidP="00F62F56">
      <w:pPr>
        <w:jc w:val="both"/>
      </w:pPr>
    </w:p>
    <w:p w:rsidR="00DF4513" w:rsidRPr="00AB0D52" w:rsidRDefault="00DF4513" w:rsidP="00D40542">
      <w:pPr>
        <w:ind w:firstLine="708"/>
        <w:jc w:val="both"/>
      </w:pPr>
      <w:r w:rsidRPr="00AB0D52">
        <w:t>По состоянию на 1 января 2004 года  задолженность по еврооблигациям составляет 35,7 млрд. долларов США.</w:t>
      </w:r>
    </w:p>
    <w:p w:rsidR="00DF4513" w:rsidRPr="00AB0D52" w:rsidRDefault="00DF4513" w:rsidP="00F62F56">
      <w:pPr>
        <w:jc w:val="both"/>
      </w:pPr>
      <w:r w:rsidRPr="00AB0D52">
        <w:t>С 1996 года по 2002 год было осуществлено 12 выпусков внешних облигационных займов Российской Федерации (ВОЗ) на сумму 37 млрд. долларов США, из которых:</w:t>
      </w:r>
      <w:r>
        <w:t xml:space="preserve"> п</w:t>
      </w:r>
      <w:r w:rsidRPr="00AB0D52">
        <w:t>ервые 8 выпусков ВОЗ, произведены с 1996 по 1998 год на сумму в эквиваленте 10 млрд. долларов США Целью заимствований являлось привлечение дополнительных финансовых ресурсов для частичного финансирования бюджетного 9-й и 10-й выпуски предназначались для обмена на них ГКО общей суммой 5,9 млрд. долларов США. В результате государственный долг увеличился на сумму 1,5 млрд. долларов США.</w:t>
      </w:r>
    </w:p>
    <w:p w:rsidR="00DF4513" w:rsidRPr="00AB0D52" w:rsidRDefault="00DF4513" w:rsidP="00D40542">
      <w:pPr>
        <w:ind w:firstLine="708"/>
        <w:jc w:val="both"/>
      </w:pPr>
      <w:r w:rsidRPr="00AB0D52">
        <w:t>В 2000-2001 годах проведены два выпуска облигаций для урегулирования задолженности перед Лондонским  клубом кредиторов на сумму 21,1 млрд. долларов США. В результате долг Российской Федерации увеличился на эту сумму, а внешний долг бывшего СССР сократился</w:t>
      </w:r>
      <w:r>
        <w:t>.</w:t>
      </w:r>
      <w:r w:rsidRPr="00AB0D52">
        <w:t>В основном внешняя коммерческая задолженность бывшего СССР представляет собой неоплаченную часть ввезенных в 1990-1991 годах товаров (ширпотреба, оборудования, комплектующих и т. Д.).</w:t>
      </w:r>
    </w:p>
    <w:p w:rsidR="00DF4513" w:rsidRPr="00AB0D52" w:rsidRDefault="00DF4513" w:rsidP="00F62F56">
      <w:pPr>
        <w:jc w:val="both"/>
      </w:pPr>
      <w:r w:rsidRPr="00AB0D52">
        <w:t>В 2001 году было предложено обменять её на облигации ВОЗ со сроком погашения в 2010 году в сумме 158,24 млн. долларов США (купонный доход 8,25%) и со сроком погашения в 2030 году ориентировочно в сумме 1,04 млрд. долларов США (купон 2-7,5%). Эмитент облигаций – Минфин России.</w:t>
      </w:r>
    </w:p>
    <w:p w:rsidR="00DF4513" w:rsidRPr="00AB0D52" w:rsidRDefault="00DF4513" w:rsidP="003854F5">
      <w:pPr>
        <w:jc w:val="center"/>
        <w:rPr>
          <w:b/>
          <w:bCs/>
        </w:rPr>
      </w:pPr>
      <w:bookmarkStart w:id="11" w:name="_Toc119552225"/>
      <w:r w:rsidRPr="00AB0D52">
        <w:rPr>
          <w:b/>
          <w:bCs/>
        </w:rPr>
        <w:t>2.10 Международные финансовые организации.</w:t>
      </w:r>
      <w:bookmarkEnd w:id="11"/>
    </w:p>
    <w:p w:rsidR="00DF4513" w:rsidRDefault="00DF4513" w:rsidP="00F62F56">
      <w:pPr>
        <w:jc w:val="both"/>
      </w:pPr>
    </w:p>
    <w:p w:rsidR="00DF4513" w:rsidRPr="00AB0D52" w:rsidRDefault="00DF4513" w:rsidP="002E78EC">
      <w:pPr>
        <w:ind w:firstLine="708"/>
        <w:jc w:val="both"/>
      </w:pPr>
      <w:r w:rsidRPr="00AB0D52">
        <w:t>Внешняя задолженность Российской Федерации в части международных финансовых организаций (далее - МФО) состоит из задолженности перед:</w:t>
      </w:r>
      <w:r>
        <w:t xml:space="preserve"> </w:t>
      </w:r>
      <w:r w:rsidRPr="00AB0D52">
        <w:t xml:space="preserve">Международным валютным фондом (МВФ); Международным банком реконструкции и развития (МБРР); </w:t>
      </w:r>
      <w:r>
        <w:t xml:space="preserve"> </w:t>
      </w:r>
      <w:r w:rsidRPr="00AB0D52">
        <w:t>Европейским банком реконструкции и развития (ЕБРР). Основными типами займов являются (финансовые) бюджетозамещающие, инвестиционные (нефинансовые) и авансовые.За период с 1992 года по 2003 год в Россию от МВФ поступило 12 траншей на сумму около 21 млрд. долларов США Они были направлены на финансирование дефицита государственного бюджета. Значительная часть задолженности погашена и по состоянию на 1 января 2004 года составляет 12,1 млрд. долларов США.</w:t>
      </w:r>
    </w:p>
    <w:p w:rsidR="00DF4513" w:rsidRPr="00AB0D52" w:rsidRDefault="00DF4513" w:rsidP="002E78EC">
      <w:pPr>
        <w:ind w:firstLine="708"/>
        <w:jc w:val="both"/>
      </w:pPr>
      <w:r w:rsidRPr="00AB0D52">
        <w:t>За период с 1994 по 2003 год Россия заключила с Европейским банком реконструкции и развития 8 проектов на сумму 440 млн. долларов США (с учетом реструктуризации). Непогашенная задолженность перед ЕБРР на 1 января 2004 года составляет около 0,4 млрд. долларов США.</w:t>
      </w:r>
    </w:p>
    <w:p w:rsidR="00DF4513" w:rsidRPr="00AB0D52" w:rsidRDefault="00DF4513" w:rsidP="00F62F56">
      <w:pPr>
        <w:jc w:val="both"/>
      </w:pPr>
      <w:r w:rsidRPr="00AB0D52">
        <w:t>В общей сложности объем займов МБРР по состоянию на 2003 год составил 13,4 млрд. долларов США, предназначенных для финансирования 58 проектов.</w:t>
      </w:r>
      <w:r>
        <w:t xml:space="preserve"> </w:t>
      </w:r>
      <w:r w:rsidRPr="00AB0D52">
        <w:t xml:space="preserve">По состоянию на 1 января 2004 года Правительство Российской Федерации привлекло в общей сложности 53 займа МБРР, в том числе 44 инвестиционных займа и 9 финансовых займов на общую сумму 12,5 млрд. долларов США. </w:t>
      </w:r>
    </w:p>
    <w:p w:rsidR="00DF4513" w:rsidRPr="00AB0D52" w:rsidRDefault="00DF4513" w:rsidP="002E78EC">
      <w:pPr>
        <w:ind w:firstLine="708"/>
        <w:jc w:val="both"/>
      </w:pPr>
      <w:r w:rsidRPr="00AB0D52">
        <w:t>В общей сложности Российская Федерация привлекла 9 бюджетозамещающих (финансовых) займов Международного банка реконструкции и развития в объеме 5,2 млрд. долларов США.</w:t>
      </w:r>
    </w:p>
    <w:p w:rsidR="00DF4513" w:rsidRPr="00AB0D52" w:rsidRDefault="00DF4513" w:rsidP="00F62F56">
      <w:pPr>
        <w:jc w:val="both"/>
      </w:pPr>
      <w:r w:rsidRPr="00AB0D52">
        <w:t>С апреля 2002 года новые финансовые займы МБРР не привлекались. В настоящее время средства поступают только в рамках соглашения по займу на реформирование системы региональных финансов.</w:t>
      </w:r>
    </w:p>
    <w:p w:rsidR="00DF4513" w:rsidRDefault="00DF4513" w:rsidP="003854F5">
      <w:pPr>
        <w:jc w:val="center"/>
        <w:rPr>
          <w:b/>
          <w:bCs/>
        </w:rPr>
      </w:pPr>
      <w:bookmarkStart w:id="12" w:name="_Toc119552226"/>
    </w:p>
    <w:p w:rsidR="00DF4513" w:rsidRPr="00AB0D52" w:rsidRDefault="00DF4513" w:rsidP="003854F5">
      <w:pPr>
        <w:jc w:val="center"/>
        <w:rPr>
          <w:b/>
          <w:bCs/>
        </w:rPr>
      </w:pPr>
      <w:r w:rsidRPr="00AB0D52">
        <w:rPr>
          <w:b/>
          <w:bCs/>
        </w:rPr>
        <w:t>2.11 Кредиты, полученные из средств Центрального банка РФ.</w:t>
      </w:r>
      <w:bookmarkEnd w:id="12"/>
    </w:p>
    <w:p w:rsidR="00DF4513" w:rsidRDefault="00DF4513" w:rsidP="00F62F56">
      <w:pPr>
        <w:jc w:val="both"/>
      </w:pPr>
    </w:p>
    <w:p w:rsidR="00DF4513" w:rsidRPr="00AB0D52" w:rsidRDefault="00DF4513" w:rsidP="00B37ED3">
      <w:pPr>
        <w:ind w:firstLine="708"/>
        <w:jc w:val="both"/>
      </w:pPr>
      <w:r w:rsidRPr="00AB0D52">
        <w:t>Начиная с 1998 года, в структуру государственного внешнего долга включаются кредиты, полученные от Центрального банка Российской Федерации.</w:t>
      </w:r>
      <w:r>
        <w:t xml:space="preserve"> </w:t>
      </w:r>
      <w:r w:rsidRPr="00AB0D52">
        <w:t>Всего в 1998 году Центральным банком Российской Федерации было предоставлено Министерству Финансов кредитов на сумму 1,94 млрд. долларов США и 171,2 млн. немецких марок. В 1999 году было предоставлено кредитов на сумму 4,49 млрд. долларов США. Минфином России в 1999 году было погашено кредитов на сумму 350,56 млн. долларов США по основному долгу и 2,94 млн. долларов США - по процентам.</w:t>
      </w:r>
      <w:r>
        <w:t xml:space="preserve"> </w:t>
      </w:r>
      <w:r w:rsidRPr="00AB0D52">
        <w:t>Объем указанной задолженности составил на 1 января 2002 года 6,4 млрд. долларов США, а по состоянию на 1 января 2004 года - 6,2 млрд. долларов США.</w:t>
      </w:r>
    </w:p>
    <w:p w:rsidR="00DF4513" w:rsidRPr="00AB0D52" w:rsidRDefault="00DF4513" w:rsidP="00F62F56">
      <w:pPr>
        <w:jc w:val="both"/>
        <w:sectPr w:rsidR="00DF4513" w:rsidRPr="00AB0D52" w:rsidSect="00784A2A">
          <w:footerReference w:type="default" r:id="rId7"/>
          <w:footnotePr>
            <w:numRestart w:val="eachPage"/>
          </w:footnotePr>
          <w:pgSz w:w="11906" w:h="16838"/>
          <w:pgMar w:top="899" w:right="1286" w:bottom="1079" w:left="1620" w:header="360" w:footer="211" w:gutter="0"/>
          <w:cols w:space="708"/>
          <w:titlePg/>
          <w:docGrid w:linePitch="360"/>
        </w:sectPr>
      </w:pPr>
    </w:p>
    <w:p w:rsidR="00DF4513" w:rsidRPr="00AB0D52" w:rsidRDefault="00DF4513" w:rsidP="00F62F56">
      <w:pPr>
        <w:jc w:val="both"/>
      </w:pPr>
      <w:bookmarkStart w:id="13" w:name="_GoBack"/>
      <w:bookmarkEnd w:id="13"/>
    </w:p>
    <w:sectPr w:rsidR="00DF4513" w:rsidRPr="00AB0D52" w:rsidSect="0078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13" w:rsidRDefault="00DF4513" w:rsidP="00045D2C">
      <w:r>
        <w:separator/>
      </w:r>
    </w:p>
  </w:endnote>
  <w:endnote w:type="continuationSeparator" w:id="0">
    <w:p w:rsidR="00DF4513" w:rsidRDefault="00DF4513" w:rsidP="0004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13" w:rsidRDefault="00DF4513" w:rsidP="00101F54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46D0">
      <w:rPr>
        <w:rStyle w:val="a8"/>
        <w:noProof/>
      </w:rPr>
      <w:t>2</w:t>
    </w:r>
    <w:r>
      <w:rPr>
        <w:rStyle w:val="a8"/>
      </w:rPr>
      <w:fldChar w:fldCharType="end"/>
    </w:r>
  </w:p>
  <w:p w:rsidR="00DF4513" w:rsidRDefault="00DF4513" w:rsidP="00101F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13" w:rsidRDefault="00DF4513" w:rsidP="00045D2C">
      <w:r>
        <w:separator/>
      </w:r>
    </w:p>
  </w:footnote>
  <w:footnote w:type="continuationSeparator" w:id="0">
    <w:p w:rsidR="00DF4513" w:rsidRDefault="00DF4513" w:rsidP="0004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7868F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9E39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255DC"/>
    <w:multiLevelType w:val="multilevel"/>
    <w:tmpl w:val="656EC1F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D9504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207C7D"/>
    <w:multiLevelType w:val="hybridMultilevel"/>
    <w:tmpl w:val="3CE8E3D4"/>
    <w:lvl w:ilvl="0" w:tplc="4BFC6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D0DF4"/>
    <w:multiLevelType w:val="hybridMultilevel"/>
    <w:tmpl w:val="F1F29A90"/>
    <w:lvl w:ilvl="0" w:tplc="4BFC6D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9D451E6"/>
    <w:multiLevelType w:val="multilevel"/>
    <w:tmpl w:val="535C829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1181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173746"/>
    <w:multiLevelType w:val="hybridMultilevel"/>
    <w:tmpl w:val="49965AFA"/>
    <w:lvl w:ilvl="0" w:tplc="4BFC6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7161B"/>
    <w:multiLevelType w:val="multilevel"/>
    <w:tmpl w:val="6ECA98E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45E05D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732663B"/>
    <w:multiLevelType w:val="hybridMultilevel"/>
    <w:tmpl w:val="5FD04B18"/>
    <w:lvl w:ilvl="0" w:tplc="4BFC6D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98A4D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A8100E"/>
    <w:multiLevelType w:val="multilevel"/>
    <w:tmpl w:val="199CDA7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2B74D5F"/>
    <w:multiLevelType w:val="hybridMultilevel"/>
    <w:tmpl w:val="0A4A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0293F"/>
    <w:multiLevelType w:val="hybridMultilevel"/>
    <w:tmpl w:val="35A45DE4"/>
    <w:lvl w:ilvl="0" w:tplc="0419000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C8B5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880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950547B"/>
    <w:multiLevelType w:val="hybridMultilevel"/>
    <w:tmpl w:val="6994A934"/>
    <w:lvl w:ilvl="0" w:tplc="4BFC6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2F14A3"/>
    <w:multiLevelType w:val="multilevel"/>
    <w:tmpl w:val="90EAFE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cs="Times New Roman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16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13"/>
  </w:num>
  <w:num w:numId="14">
    <w:abstractNumId w:val="11"/>
  </w:num>
  <w:num w:numId="15">
    <w:abstractNumId w:val="8"/>
  </w:num>
  <w:num w:numId="16">
    <w:abstractNumId w:val="17"/>
  </w:num>
  <w:num w:numId="17">
    <w:abstractNumId w:val="19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862"/>
    <w:rsid w:val="00045D2C"/>
    <w:rsid w:val="000A398D"/>
    <w:rsid w:val="000A58E8"/>
    <w:rsid w:val="000C51B7"/>
    <w:rsid w:val="000D356A"/>
    <w:rsid w:val="000E3EEF"/>
    <w:rsid w:val="00101F54"/>
    <w:rsid w:val="00146C8E"/>
    <w:rsid w:val="00150BC1"/>
    <w:rsid w:val="00170E1B"/>
    <w:rsid w:val="001740F0"/>
    <w:rsid w:val="001C1862"/>
    <w:rsid w:val="001E5B62"/>
    <w:rsid w:val="001E6081"/>
    <w:rsid w:val="00246DD4"/>
    <w:rsid w:val="002672D6"/>
    <w:rsid w:val="002C0AD9"/>
    <w:rsid w:val="002E78EC"/>
    <w:rsid w:val="003046D0"/>
    <w:rsid w:val="003106FA"/>
    <w:rsid w:val="00313F8A"/>
    <w:rsid w:val="00334CEE"/>
    <w:rsid w:val="003854F5"/>
    <w:rsid w:val="0043490F"/>
    <w:rsid w:val="0050342A"/>
    <w:rsid w:val="00563E89"/>
    <w:rsid w:val="005B46E5"/>
    <w:rsid w:val="005B6A83"/>
    <w:rsid w:val="005E7FCD"/>
    <w:rsid w:val="006470AB"/>
    <w:rsid w:val="00687010"/>
    <w:rsid w:val="00711FF5"/>
    <w:rsid w:val="007503EF"/>
    <w:rsid w:val="00775050"/>
    <w:rsid w:val="00784A2A"/>
    <w:rsid w:val="007A2803"/>
    <w:rsid w:val="007D2481"/>
    <w:rsid w:val="00834855"/>
    <w:rsid w:val="008A280C"/>
    <w:rsid w:val="009253A3"/>
    <w:rsid w:val="009530C8"/>
    <w:rsid w:val="00994820"/>
    <w:rsid w:val="009C166B"/>
    <w:rsid w:val="00A46AA0"/>
    <w:rsid w:val="00AB0D52"/>
    <w:rsid w:val="00B2327E"/>
    <w:rsid w:val="00B37ED3"/>
    <w:rsid w:val="00B97A2B"/>
    <w:rsid w:val="00BB4DA1"/>
    <w:rsid w:val="00BC5FC0"/>
    <w:rsid w:val="00C609FE"/>
    <w:rsid w:val="00CA64BB"/>
    <w:rsid w:val="00CA7132"/>
    <w:rsid w:val="00D05685"/>
    <w:rsid w:val="00D17C24"/>
    <w:rsid w:val="00D361F4"/>
    <w:rsid w:val="00D40542"/>
    <w:rsid w:val="00D84F38"/>
    <w:rsid w:val="00DB0477"/>
    <w:rsid w:val="00DB6BB6"/>
    <w:rsid w:val="00DF4513"/>
    <w:rsid w:val="00E170D7"/>
    <w:rsid w:val="00EA0663"/>
    <w:rsid w:val="00EB5D02"/>
    <w:rsid w:val="00ED093E"/>
    <w:rsid w:val="00F01F57"/>
    <w:rsid w:val="00F037AC"/>
    <w:rsid w:val="00F358EF"/>
    <w:rsid w:val="00F62F56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B3D8-BD7A-4095-AD6D-FA4B125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52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862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semiHidden/>
    <w:rsid w:val="00313F8A"/>
    <w:pPr>
      <w:tabs>
        <w:tab w:val="left" w:pos="1200"/>
        <w:tab w:val="right" w:leader="dot" w:pos="8990"/>
      </w:tabs>
      <w:spacing w:line="360" w:lineRule="auto"/>
    </w:pPr>
  </w:style>
  <w:style w:type="paragraph" w:styleId="1">
    <w:name w:val="toc 1"/>
    <w:basedOn w:val="a"/>
    <w:next w:val="a"/>
    <w:autoRedefine/>
    <w:semiHidden/>
    <w:rsid w:val="001C1862"/>
  </w:style>
  <w:style w:type="paragraph" w:styleId="a4">
    <w:name w:val="footer"/>
    <w:basedOn w:val="a"/>
    <w:link w:val="a5"/>
    <w:rsid w:val="00045D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045D2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"/>
    <w:basedOn w:val="a"/>
    <w:link w:val="a7"/>
    <w:rsid w:val="00045D2C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locked/>
    <w:rsid w:val="00045D2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rsid w:val="00045D2C"/>
    <w:rPr>
      <w:rFonts w:cs="Times New Roman"/>
    </w:rPr>
  </w:style>
  <w:style w:type="paragraph" w:styleId="a9">
    <w:name w:val="footnote text"/>
    <w:basedOn w:val="a"/>
    <w:link w:val="aa"/>
    <w:semiHidden/>
    <w:rsid w:val="00045D2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045D2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basedOn w:val="a0"/>
    <w:semiHidden/>
    <w:rsid w:val="00045D2C"/>
    <w:rPr>
      <w:rFonts w:cs="Times New Roman"/>
      <w:vertAlign w:val="superscript"/>
    </w:rPr>
  </w:style>
  <w:style w:type="character" w:customStyle="1" w:styleId="hl01">
    <w:name w:val="hl01"/>
    <w:basedOn w:val="a0"/>
    <w:rsid w:val="00045D2C"/>
    <w:rPr>
      <w:rFonts w:cs="Times New Roman"/>
      <w:b/>
      <w:bCs/>
      <w:sz w:val="24"/>
      <w:szCs w:val="24"/>
    </w:rPr>
  </w:style>
  <w:style w:type="paragraph" w:customStyle="1" w:styleId="10">
    <w:name w:val="Абзац списка1"/>
    <w:basedOn w:val="a"/>
    <w:rsid w:val="00045D2C"/>
    <w:pPr>
      <w:ind w:left="720"/>
      <w:contextualSpacing/>
    </w:pPr>
  </w:style>
  <w:style w:type="paragraph" w:customStyle="1" w:styleId="11">
    <w:name w:val="Без интервала1"/>
    <w:rsid w:val="00784A2A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semiHidden/>
    <w:rsid w:val="00AB0D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locked/>
    <w:rsid w:val="00AB0D5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Подавляющее число государств испытывает недостаток собственных финансовых ресурсов для осуществления внутренних платежей, покрытия дефицита государственного бюджета, проведения социально-экономической политики и выполнения обязательств по уже осуществлён</vt:lpstr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Подавляющее число государств испытывает недостаток собственных финансовых ресурсов для осуществления внутренних платежей, покрытия дефицита государственного бюджета, проведения социально-экономической политики и выполнения обязательств по уже осуществлён</dc:title>
  <dc:subject/>
  <dc:creator>Жу Жу</dc:creator>
  <cp:keywords/>
  <dc:description/>
  <cp:lastModifiedBy>admin</cp:lastModifiedBy>
  <cp:revision>2</cp:revision>
  <dcterms:created xsi:type="dcterms:W3CDTF">2014-04-27T04:27:00Z</dcterms:created>
  <dcterms:modified xsi:type="dcterms:W3CDTF">2014-04-27T04:27:00Z</dcterms:modified>
</cp:coreProperties>
</file>