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8ED" w:rsidRDefault="00950248">
      <w:pPr>
        <w:pStyle w:val="1"/>
        <w:jc w:val="center"/>
        <w:rPr>
          <w:b/>
          <w:sz w:val="32"/>
        </w:rPr>
      </w:pPr>
      <w:r>
        <w:rPr>
          <w:b/>
          <w:sz w:val="32"/>
        </w:rPr>
        <w:t>Проблеми посередницької діяльності комерційних банків в Україні</w:t>
      </w:r>
    </w:p>
    <w:p w:rsidR="004268ED" w:rsidRDefault="004268ED">
      <w:pPr>
        <w:jc w:val="both"/>
        <w:rPr>
          <w:sz w:val="28"/>
        </w:rPr>
      </w:pPr>
    </w:p>
    <w:p w:rsidR="004268ED" w:rsidRDefault="00950248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>Фінансовий сектор відіграє провідну роль у розподілі ресурсів за умов ринкової економіки. Із самого початку реформа фінансового ринку була ускладнена абсолютною відсутністю фінансових посередників; недостатньою відповідністю кредитів кредитоспроможності, що призводило до простроченої заборгованості за банківськими кредитами та взаємозаборгованості між підприємствами.</w:t>
      </w:r>
    </w:p>
    <w:p w:rsidR="004268ED" w:rsidRDefault="00950248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>Фінансові посередники стоять між постачальниками та отримувачами позичкових коштів. Тому для аналізу їхньої діяльності необхідно зробити аналіз заощаджень та попиту на кредити з боку приватних осіб, підприємств та уряду (див. рис. 1). Основним джерелом надходження фінансових ресурсів є сектор доходів домогосподарства, фізичних осіб. У країнах з розвиненою ринковою економікою цей сектор завжди був основним “постачальником” капіталу для інших секторів. В Україні на кінець 1999 року депозити фізичних осіб в банках складали 2624,294 млн.грн. Залучення коштів фізичних осіб банками проходить не так активно, як у країнах з розвиненою ринковою економікою. Це пов’язано із недосконалим правовим врегулюванням: фізичні особи найменш юридично захищені від втрати своїх коштів у разі неплатоспроможності банку, його ліквідації. Також умови депозитних договорів є надто жорсткими: кошти приймаються строго на певний термін і під конкретно визначені проценти. На відміну від вітчизняних, іноземні банки проводять більш гнучку політику залучення коштів від населення. Тому для іноземних громадян зберігати кошти в банку вигідно і надійно, а наші співвітчизники надають перевагу переведенню і зберіганню гривні у іноземній валюті.</w:t>
      </w:r>
    </w:p>
    <w:p w:rsidR="004268ED" w:rsidRDefault="00950248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 xml:space="preserve"> Значну частку в надходженнях займають кошти клієнтів банку – юридичних осіб, які включають кошти клієнтів до запитання (розрахункові та поточні рахунки). Цей сектор за умов </w:t>
      </w:r>
    </w:p>
    <w:p w:rsidR="004268ED" w:rsidRDefault="00950248">
      <w:pPr>
        <w:pStyle w:val="a3"/>
        <w:spacing w:line="240" w:lineRule="auto"/>
        <w:ind w:firstLine="567"/>
        <w:rPr>
          <w:b/>
          <w:sz w:val="24"/>
        </w:rPr>
      </w:pPr>
      <w:r>
        <w:rPr>
          <w:b/>
          <w:sz w:val="24"/>
        </w:rPr>
        <w:t>Надходження фінансових                                                           Розподіл фінансових</w:t>
      </w:r>
    </w:p>
    <w:p w:rsidR="004268ED" w:rsidRDefault="00950248">
      <w:pPr>
        <w:pStyle w:val="a3"/>
        <w:spacing w:line="240" w:lineRule="auto"/>
        <w:ind w:firstLine="567"/>
        <w:rPr>
          <w:sz w:val="24"/>
        </w:rPr>
      </w:pPr>
      <w:r>
        <w:rPr>
          <w:b/>
          <w:sz w:val="24"/>
        </w:rPr>
        <w:t xml:space="preserve">            ресурсів                                                                                       ресурсів</w:t>
      </w:r>
      <w:r>
        <w:rPr>
          <w:sz w:val="24"/>
        </w:rPr>
        <w:t xml:space="preserve"> </w:t>
      </w:r>
    </w:p>
    <w:p w:rsidR="004268ED" w:rsidRDefault="00A60D4E">
      <w:pPr>
        <w:pStyle w:val="a3"/>
        <w:spacing w:line="240" w:lineRule="auto"/>
        <w:ind w:firstLine="567"/>
        <w:rPr>
          <w:sz w:val="24"/>
        </w:rPr>
      </w:pPr>
      <w:r>
        <w:rPr>
          <w:noProof/>
          <w:sz w:val="24"/>
        </w:rPr>
        <w:pict>
          <v:group id="_x0000_s1026" style="position:absolute;left:0;text-align:left;margin-left:43.6pt;margin-top:.15pt;width:432.25pt;height:145.9pt;z-index:251657728" coordorigin="2016,12058" coordsize="8645,2918" o:allowincell="f">
            <v:rect id="_x0000_s1027" style="position:absolute;left:2021;top:12058;width:2160;height:864">
              <v:textbox inset="0,0,0,0">
                <w:txbxContent>
                  <w:p w:rsidR="004268ED" w:rsidRDefault="00950248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Населення</w:t>
                    </w:r>
                  </w:p>
                  <w:p w:rsidR="004268ED" w:rsidRDefault="00950248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 xml:space="preserve">     70%</w:t>
                    </w:r>
                  </w:p>
                </w:txbxContent>
              </v:textbox>
            </v:rect>
            <v:rect id="_x0000_s1028" style="position:absolute;left:2016;top:13104;width:2160;height:720">
              <v:textbox inset="0,0,0,0">
                <w:txbxContent>
                  <w:p w:rsidR="004268ED" w:rsidRDefault="00950248">
                    <w:pPr>
                      <w:pStyle w:val="a3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Юридичні особи    25%</w:t>
                    </w:r>
                  </w:p>
                </w:txbxContent>
              </v:textbox>
            </v:rect>
            <v:rect id="_x0000_s1029" style="position:absolute;left:2016;top:14112;width:2160;height:864">
              <v:textbox inset="0,0,0,0">
                <w:txbxContent>
                  <w:p w:rsidR="004268ED" w:rsidRDefault="00950248">
                    <w:pPr>
                      <w:pStyle w:val="10"/>
                      <w:rPr>
                        <w:b w:val="0"/>
                        <w:i w:val="0"/>
                        <w:sz w:val="20"/>
                      </w:rPr>
                    </w:pPr>
                    <w:r>
                      <w:rPr>
                        <w:b w:val="0"/>
                        <w:i w:val="0"/>
                        <w:sz w:val="20"/>
                      </w:rPr>
                      <w:t>Інші джерела            5%</w:t>
                    </w:r>
                  </w:p>
                </w:txbxContent>
              </v:textbox>
            </v:rect>
            <v:rect id="_x0000_s1030" style="position:absolute;left:7920;top:12058;width:2736;height:902">
              <v:textbox inset="0,0,0,0">
                <w:txbxContent>
                  <w:p w:rsidR="004268ED" w:rsidRDefault="00950248">
                    <w:pPr>
                      <w:pStyle w:val="a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Кредитування фізичних осіб</w:t>
                    </w:r>
                  </w:p>
                  <w:p w:rsidR="004268ED" w:rsidRDefault="00950248">
                    <w:pPr>
                      <w:rPr>
                        <w:rFonts w:ascii="Arial" w:hAnsi="Arial"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</w:rPr>
                      <w:t xml:space="preserve">       </w:t>
                    </w:r>
                    <w:r>
                      <w:rPr>
                        <w:rFonts w:ascii="Arial" w:hAnsi="Arial"/>
                        <w:i/>
                      </w:rPr>
                      <w:t>5%</w:t>
                    </w:r>
                  </w:p>
                </w:txbxContent>
              </v:textbox>
            </v:rect>
            <v:rect id="_x0000_s1031" style="position:absolute;left:7920;top:13104;width:2736;height:864">
              <v:textbox inset="0,0,0,0">
                <w:txbxContent>
                  <w:p w:rsidR="004268ED" w:rsidRDefault="00950248">
                    <w:pPr>
                      <w:pStyle w:val="a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Кредитування юридичних осіб</w:t>
                    </w:r>
                  </w:p>
                  <w:p w:rsidR="004268ED" w:rsidRDefault="00950248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 xml:space="preserve">         65%</w:t>
                    </w:r>
                  </w:p>
                </w:txbxContent>
              </v:textbox>
            </v:rect>
            <v:rect id="_x0000_s1032" style="position:absolute;left:7920;top:14112;width:2741;height:784">
              <v:textbox inset="0,0,0,0">
                <w:txbxContent>
                  <w:p w:rsidR="004268ED" w:rsidRDefault="00950248">
                    <w:pPr>
                      <w:pStyle w:val="20"/>
                      <w:rPr>
                        <w:b w:val="0"/>
                        <w:i w:val="0"/>
                        <w:sz w:val="24"/>
                      </w:rPr>
                    </w:pPr>
                    <w:r>
                      <w:rPr>
                        <w:b w:val="0"/>
                        <w:i w:val="0"/>
                        <w:sz w:val="24"/>
                      </w:rPr>
                      <w:t>Державні видатки       30%</w:t>
                    </w:r>
                  </w:p>
                </w:txbxContent>
              </v:textbox>
            </v:rect>
            <v:rect id="_x0000_s1033" style="position:absolute;left:5184;top:12672;width:1728;height:1872">
              <v:textbox inset="0,0,0,0">
                <w:txbxContent>
                  <w:p w:rsidR="004268ED" w:rsidRDefault="004268ED">
                    <w:pPr>
                      <w:jc w:val="center"/>
                      <w:rPr>
                        <w:rFonts w:ascii="Arial" w:hAnsi="Arial"/>
                        <w:b/>
                        <w:i/>
                      </w:rPr>
                    </w:pPr>
                  </w:p>
                  <w:p w:rsidR="004268ED" w:rsidRDefault="00950248">
                    <w:pPr>
                      <w:pStyle w:val="2"/>
                      <w:rPr>
                        <w:b w:val="0"/>
                        <w:i w:val="0"/>
                      </w:rPr>
                    </w:pPr>
                    <w:r>
                      <w:rPr>
                        <w:b w:val="0"/>
                        <w:i w:val="0"/>
                      </w:rPr>
                      <w:t xml:space="preserve">Фінансовий </w:t>
                    </w:r>
                  </w:p>
                  <w:p w:rsidR="004268ED" w:rsidRDefault="00950248">
                    <w:pPr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 xml:space="preserve">посередник-  </w:t>
                    </w:r>
                  </w:p>
                  <w:p w:rsidR="004268ED" w:rsidRDefault="00950248">
                    <w:pPr>
                      <w:pStyle w:val="2"/>
                      <w:keepNext w:val="0"/>
                      <w:rPr>
                        <w:b w:val="0"/>
                        <w:i w:val="0"/>
                      </w:rPr>
                    </w:pPr>
                    <w:r>
                      <w:rPr>
                        <w:b w:val="0"/>
                        <w:i w:val="0"/>
                      </w:rPr>
                      <w:t>банк</w:t>
                    </w:r>
                  </w:p>
                </w:txbxContent>
              </v:textbox>
            </v:rect>
            <v:line id="_x0000_s1034" style="position:absolute" from="4176,12384" to="5184,12672"/>
            <v:line id="_x0000_s1035" style="position:absolute" from="4176,13536" to="5184,13536"/>
            <v:line id="_x0000_s1036" style="position:absolute;flip:x" from="4176,14256" to="5184,14544"/>
            <v:line id="_x0000_s1037" style="position:absolute;flip:x" from="6912,12384" to="7920,12672"/>
            <v:line id="_x0000_s1038" style="position:absolute" from="6912,13536" to="7920,13536"/>
            <v:line id="_x0000_s1039" style="position:absolute" from="6912,14256" to="7920,14544"/>
          </v:group>
        </w:pict>
      </w:r>
    </w:p>
    <w:p w:rsidR="004268ED" w:rsidRDefault="004268ED">
      <w:pPr>
        <w:pStyle w:val="a3"/>
        <w:spacing w:line="240" w:lineRule="auto"/>
        <w:ind w:firstLine="567"/>
        <w:rPr>
          <w:sz w:val="24"/>
        </w:rPr>
      </w:pPr>
    </w:p>
    <w:p w:rsidR="004268ED" w:rsidRDefault="004268ED">
      <w:pPr>
        <w:pStyle w:val="a3"/>
        <w:spacing w:line="240" w:lineRule="auto"/>
        <w:ind w:firstLine="567"/>
        <w:rPr>
          <w:sz w:val="24"/>
        </w:rPr>
      </w:pPr>
    </w:p>
    <w:p w:rsidR="004268ED" w:rsidRDefault="004268ED">
      <w:pPr>
        <w:pStyle w:val="a3"/>
        <w:spacing w:line="240" w:lineRule="auto"/>
        <w:ind w:firstLine="567"/>
        <w:rPr>
          <w:sz w:val="24"/>
        </w:rPr>
      </w:pPr>
    </w:p>
    <w:p w:rsidR="004268ED" w:rsidRDefault="004268ED">
      <w:pPr>
        <w:pStyle w:val="a3"/>
        <w:spacing w:line="240" w:lineRule="auto"/>
        <w:ind w:firstLine="567"/>
        <w:rPr>
          <w:sz w:val="24"/>
        </w:rPr>
      </w:pPr>
    </w:p>
    <w:p w:rsidR="004268ED" w:rsidRDefault="004268ED">
      <w:pPr>
        <w:pStyle w:val="a3"/>
        <w:spacing w:line="240" w:lineRule="auto"/>
        <w:ind w:firstLine="567"/>
        <w:rPr>
          <w:sz w:val="24"/>
        </w:rPr>
      </w:pPr>
    </w:p>
    <w:p w:rsidR="004268ED" w:rsidRDefault="004268ED">
      <w:pPr>
        <w:pStyle w:val="a3"/>
        <w:spacing w:line="240" w:lineRule="auto"/>
        <w:ind w:firstLine="567"/>
        <w:rPr>
          <w:sz w:val="24"/>
        </w:rPr>
      </w:pPr>
    </w:p>
    <w:p w:rsidR="004268ED" w:rsidRDefault="004268ED">
      <w:pPr>
        <w:pStyle w:val="a3"/>
        <w:spacing w:line="240" w:lineRule="auto"/>
        <w:ind w:firstLine="567"/>
        <w:rPr>
          <w:sz w:val="24"/>
        </w:rPr>
      </w:pPr>
    </w:p>
    <w:p w:rsidR="004268ED" w:rsidRDefault="00950248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>рис. 1. Над</w:t>
      </w:r>
    </w:p>
    <w:p w:rsidR="004268ED" w:rsidRDefault="004268ED">
      <w:pPr>
        <w:pStyle w:val="a3"/>
        <w:spacing w:line="240" w:lineRule="auto"/>
        <w:ind w:firstLine="567"/>
        <w:rPr>
          <w:sz w:val="24"/>
        </w:rPr>
      </w:pPr>
    </w:p>
    <w:p w:rsidR="004268ED" w:rsidRDefault="004268ED">
      <w:pPr>
        <w:pStyle w:val="a3"/>
        <w:spacing w:line="240" w:lineRule="auto"/>
        <w:ind w:firstLine="567"/>
        <w:rPr>
          <w:sz w:val="24"/>
        </w:rPr>
      </w:pPr>
    </w:p>
    <w:p w:rsidR="004268ED" w:rsidRDefault="00950248">
      <w:pPr>
        <w:pStyle w:val="a3"/>
        <w:spacing w:line="240" w:lineRule="auto"/>
        <w:ind w:firstLine="567"/>
        <w:jc w:val="center"/>
        <w:rPr>
          <w:i/>
          <w:sz w:val="24"/>
        </w:rPr>
      </w:pPr>
      <w:r>
        <w:rPr>
          <w:i/>
          <w:sz w:val="24"/>
        </w:rPr>
        <w:t>Рис. 1. Надходження і розподіл фінансових ресурсів.</w:t>
      </w:r>
    </w:p>
    <w:p w:rsidR="004268ED" w:rsidRDefault="004268ED">
      <w:pPr>
        <w:pStyle w:val="a3"/>
        <w:spacing w:line="240" w:lineRule="auto"/>
        <w:ind w:firstLine="567"/>
        <w:jc w:val="center"/>
        <w:rPr>
          <w:i/>
          <w:sz w:val="24"/>
        </w:rPr>
      </w:pPr>
    </w:p>
    <w:p w:rsidR="004268ED" w:rsidRDefault="00950248">
      <w:pPr>
        <w:pStyle w:val="a3"/>
        <w:spacing w:line="240" w:lineRule="auto"/>
        <w:rPr>
          <w:sz w:val="24"/>
        </w:rPr>
      </w:pPr>
      <w:r>
        <w:rPr>
          <w:sz w:val="24"/>
        </w:rPr>
        <w:t>нормального функціонування економіки завжди потребує додаткових грошових засобів, оскільки величина капіталовкладень перевищує суму поточних надходжень від операційної діяльності. На відміну від фізичних осіб кредитування юридичних осіб є пріоритетною галуззю банківської діяльності. Це видно зі структури кредитного портфеля за об’єктами кредитування, яка за станом на 01.07.99 р. мала вигляд:</w:t>
      </w:r>
    </w:p>
    <w:p w:rsidR="004268ED" w:rsidRDefault="00950248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>кредити юридичним особам – 65,6%;</w:t>
      </w:r>
    </w:p>
    <w:p w:rsidR="004268ED" w:rsidRDefault="00950248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>кредити та депозити іншим банкам – 27,7%;</w:t>
      </w:r>
    </w:p>
    <w:p w:rsidR="004268ED" w:rsidRDefault="00950248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>кредити фізичним особам – 6,7%.</w:t>
      </w:r>
    </w:p>
    <w:p w:rsidR="004268ED" w:rsidRDefault="00950248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lastRenderedPageBreak/>
        <w:t>Також у ролі чисто позичальника виступає державний сектор. Доходи бюджету не покривають видатків, тому держава виступає позичальником на ринку позичкового капіталу.</w:t>
      </w:r>
    </w:p>
    <w:p w:rsidR="004268ED" w:rsidRDefault="00950248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 xml:space="preserve">Комерційні банки належать до категорії фінансових посередників. Вони залучають заощадження населення та інші вільні грошові засоби, що вивільняються у процесі господарської діяльності і надають їх у тимчасове користування іншим економічним агентам, які потребують додаткових капіталовкладень. Таким чином, фінансові посередники виконують важливу народногосподарську функцію - забезпечують міжгалузевий та міжрегіональний розподіл капіталу. </w:t>
      </w:r>
    </w:p>
    <w:p w:rsidR="004268ED" w:rsidRDefault="00950248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>Фінансове посередництво не слід розглядати як брокерсько-дилерські функції, між ними є суттєві відмінності. Діючи за дорученням клієнтів, брокери і дилери не створюють власних вимог і зобов’язань. У своїй діяльності фінансові посередники створюють власні вимоги і зобов’язання, які згодом стають товаром на грошовому ринку. Комерційний банк створює зобов’язання - депозит, приймаючи вклади від клієнтів, і вимогу до позичальника, видаючи позику.</w:t>
      </w:r>
    </w:p>
    <w:p w:rsidR="004268ED" w:rsidRDefault="00950248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 xml:space="preserve">Фінансове посередництво необхідне, оскільки прямий контакт вкладників і позичальників неможливий. Без фінансового посередництва не можна  задовольнити інтереси ні вкладника, ні позичальника - виникає неспівпадання сум, що пропонуються, і сум, які потрібні, а також їх строків і дохідності. Роль банків полягає в акумуляції коштів різного походження, у створенні загальної грошової маси, в результаті чого задовольняється попит на кредит на різних умовах. </w:t>
      </w:r>
    </w:p>
    <w:p w:rsidR="004268ED" w:rsidRDefault="00950248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>Зрозуміло, що, видаючи позику, банк стягує певний відсоток, який позичальник сплачує зі свого прибутку. У той же час банк нараховує відсоток на заощадження свого вкладника і сплачує їх за рахунок  тих коштів, які отримав за користування кредитом. За рахунок банківського посередництва відсотки за вкладами нараховуються незалежно від того, чи отримує позичальник дохід, чи ні. Так само і позичальник змушений не лише повернути позику, але й сплатити відсотки, нараховані банком.</w:t>
      </w:r>
    </w:p>
    <w:p w:rsidR="004268ED" w:rsidRDefault="00950248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>Банк як фінансовий посередник надає клієнтам послуги в операціях з цінними паперами, при наданні кредитів, при проведенні платежів та розрахунків, а також служить ланкою, що пов’язує вкладників та інвесторів.</w:t>
      </w:r>
    </w:p>
    <w:p w:rsidR="004268ED" w:rsidRDefault="00950248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 xml:space="preserve">Банк може виступати посередником між емітентами цінних паперів та інвесторами, а також купувати або перепродувати цінні папери на вторинному ринку за рахунок і за дорученням клієнтів. У першому випадку завданням банку є отримання максимально можливого прибутку при розповсюдженні серед інвесторів максимально можливого обсягу цінних паперів емітентів, а у другому - отримання винагороди від клієнта за точне і швидке виконання доручення про купівлю чи продаж цінних паперів. </w:t>
      </w:r>
    </w:p>
    <w:p w:rsidR="004268ED" w:rsidRDefault="00950248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>При одержанні клієнтом кредиту банк виступає посередником у таких випадках: коли не в змозі задовольнити заявку цього ж клієнта про одержання кредиту в зв’язку з тим, що сума кредиту перевищує ліміт кредитування, розбіжністю запропонованих клієнтом умов кредиту з кредитною політикою банку. Посередницька послуга у цьому випадку полягає в тому, що банк на прохання клієнта отримує кредит в іншому банку і надає його клієнту за значно вищу плату, ніж отримав сам. Маржа банку при цьому визначається як різниця між сплаченими відсотками за кредитні ресурси іншому банку і отриманими від клієнта за надану йому позику.</w:t>
      </w:r>
    </w:p>
    <w:p w:rsidR="004268ED" w:rsidRDefault="00950248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>Для зберігання грошових коштів суб’єкти підприємницької діяльності відкривають у банках України поточні, розрахункові та інші рахунки. Безготівкові розрахунки між клієнтами здійснюються через банки шляхом перерахування коштів з рахунку платника на рахунок постачальника. В Україні передбачені такі форми безготівкових розрахунків: платіжними дорученнями; платіжними вимогами-дорученнями; чеками; акредитивами; векселями; платіжними вимогами; інкасовими дорученнями (розпорядженнями). При використанні цих видів розрахунків банки, звичайно, виступають у ролі посередників. Та чи можна назвати це посередництво фінансовим у всіх випадках?</w:t>
      </w:r>
    </w:p>
    <w:p w:rsidR="004268ED" w:rsidRDefault="00950248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 xml:space="preserve">Наприклад, при здійсненні розрахунків за допомогою таких розрахункових документів, як платіжні доручення, платіжні вимоги-доручення, платіжні вимоги банк лише виконує доручення клієнта перерахувати певну суму з розрахункового рахунка платника на розрахунковий рахунок постачальника. Це суто механічна дія, а отже, фінансовим посередництвом її не назвеш. </w:t>
      </w:r>
    </w:p>
    <w:p w:rsidR="004268ED" w:rsidRDefault="00950248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>Чеки застосовуються для розрахунків між суб’єктами господарювання здебільшого за товарно-матеріальні цінності з метою зменшення обігу готівкових грошей. У проведенні цих розрахунків банк також не виступає як фінансовий посередник.</w:t>
      </w:r>
    </w:p>
    <w:p w:rsidR="004268ED" w:rsidRDefault="00950248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 xml:space="preserve">У ролі фінансового посередника банк виступає при використанні розрахунків за допомогою акредитивів та векселів. Акредитив – це форма розрахунків, при якій банк-емітент за дорученням свого клієнта (заявника акредитива) зобов’язаний: виконати платіж третій особі (бенефіціару) за поставлені товари, виконані роботи та надані послуги; надати повноваження іншому (виконуючому) банку здійснити цей платіж. Кожний акредитив призначається для розрахунків тільки з одним бенефіціаром і не може бути переадресований. Для відкриття акредитива підприємство подає банку-емітенту заяву за встановленою формою. У заяві вказуються умови акредитиву. При використанні покритого акредитива кошти платника завчасно бронюються у повній сумі на окремому рахунку в банку платника або виконуючому банку. У разі тимчасової відсутності коштів на рахунку платника банк виступає посередником і оплата за акредитивом гарантується банком-емітентом за рахунок банківського кредиту. Це - непокритий вид акредитиву. Зарахування коштів бенефіціару за непокритим гарантованим акредитивом здійснюється виконуючим банком після перевірки усіх належних документів, що передбачені умовами акредитива, списанням коштів з кореспондентського  рахунку банку-емітента. Банк-емітент, у свою чергу, відшкодовує виконуючому банку витрати, пов’язані з виконанням акредитива на умовах, що передбачені міжбанківською угодою. </w:t>
      </w:r>
    </w:p>
    <w:p w:rsidR="004268ED" w:rsidRDefault="00950248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 xml:space="preserve">Платежі за акредитивами здійснюються після подання в банк необхідних документів, що передбачені умовами акредитива, про відвантаження продукції, виконання робіт або надання послуг. Виконуючий банк ретельно перевіряє подані бенефіціаром документи на предмет дотримання всіх умов акредитива і у разі порушення хоча б однієї з них виплата за акредитивом не проводиться. </w:t>
      </w:r>
    </w:p>
    <w:p w:rsidR="004268ED" w:rsidRDefault="00950248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>Банки мають здійснювати контроль за строком дії акредитивів. При застосуванні розрахунків акредитивами банк виступає не лише як фінансовий посередник, але й як головний контролюючий орган, через який проходять усі документи, що передбачені договором. Усі претензії до бенефіціарів, крім тих, що виникають з вини банку, розглядаються сторонами без участі банку.</w:t>
      </w:r>
    </w:p>
    <w:p w:rsidR="004268ED" w:rsidRDefault="00950248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 xml:space="preserve">При розрахунках акредитивами банк не лише здійснює механічне переведення коштів з одного рахунку на інший, а й виступає у ролі посередника, надаючи кредит при тимчасовій відсутності коштів на рахунку платника, а також при наданні банком-емітентом права виконуючому банку списувати кошти зі свого коррахунку, банки вступають між собою у кредитні відносини і створюють зобов’язання. Акредитивна форма розрахунків активно використовувалась державними банками, коли не було системи електронних платежів. Комерційні банки у своїй діяльності майже не використовують акредитив у зв’язку з тим, що на банк покладаються додаткові трудомісткі функції контролю за документами. Хоча ця форма платежу є досить цікавою але з впровадженням в Україні системи електронних платежів, вона втратила свою актуальність. У нашій країні комерційні банки застосовують акредитив лише для розрахунків між резидентами і нерезидентами. </w:t>
      </w:r>
    </w:p>
    <w:p w:rsidR="004268ED" w:rsidRDefault="00950248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>Банк виступає у ролі фінансового посередника, здійснюючи такі операції з векселями:</w:t>
      </w:r>
    </w:p>
    <w:p w:rsidR="004268ED" w:rsidRDefault="00950248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>кредитні: врахування (дисконт) векселів, видача позичок до запитання під забезпечення векселів, рефінансування вексельних операцій;</w:t>
      </w:r>
    </w:p>
    <w:p w:rsidR="004268ED" w:rsidRDefault="00950248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 xml:space="preserve">комісійні: прийняття векселів на інкасо для одержання платежів і для оплати векселів у строк, зобов’язання оплатити вексель за платника (доміциляція). </w:t>
      </w:r>
    </w:p>
    <w:p w:rsidR="004268ED" w:rsidRDefault="00950248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 xml:space="preserve">  Вексельними кредитами є банківські операції щодо врахування (дисконту) векселів і видачі позичок до запитання під забезпечення векселів. Кредит надається за заявою векселедержателя, яка подається, як правило, до банку, в якому відкриті основні рахунки – поточний, розрахунковий.</w:t>
      </w:r>
    </w:p>
    <w:p w:rsidR="004268ED" w:rsidRDefault="00950248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 xml:space="preserve">Врахування векселів і позички під заставу векселів є активними операціями банку, і їх суми входять у визначення відповідних нормативних коефіцієнтів. </w:t>
      </w:r>
    </w:p>
    <w:p w:rsidR="004268ED" w:rsidRDefault="00950248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>Подані векселі перевіряються з позиції їх юридичної та економічної надійності. З юридичної точки зору перевіряються правильність заповнення усіх обов’язкових реквізитів, повнота сплати вексельного мита, повноваження осіб, які підписали цей вексель, а також справжність цих підписів. Метою перевірки економічної надійності векселя є встановлення повної впевненості у його оплаті. До врахування, під заставу і рефінансування приймаються тільки векселі, видані юридичними особами на підставі здійснених реальних товарних та комерційних угод.</w:t>
      </w:r>
    </w:p>
    <w:p w:rsidR="004268ED" w:rsidRDefault="00950248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>Врахування або дисконт векселів полягає у тому, що банк, придбавши вексель за іменним індосаментом, терміново його сплачує пред’явнику, а платіж отримує тільки з настанням зазначеного у векселі строку. Економічною суттю операції врахування є дострокова грошова реалізація векселя його держателем банку і переведення комерційного кредиту у банківський.</w:t>
      </w:r>
    </w:p>
    <w:p w:rsidR="004268ED" w:rsidRDefault="00950248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>За достроковий платіж банк утримує з номінальної суми векселя певну винагороду на свою користь, тобто вексель оплачується зі знижкою. Різниця між сумою, яку банк заплатив, придбавши вексель, і сумою, яку він отримає у строк платежу, називається врахуванням або дисконтом.</w:t>
      </w:r>
    </w:p>
    <w:p w:rsidR="004268ED" w:rsidRDefault="00950248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 xml:space="preserve">Враховуючи вексель, банк отримує його у своє розпорядження, стає кредитором – векселеутримувачем з усіма правами і обов’язками останнього. </w:t>
      </w:r>
    </w:p>
    <w:p w:rsidR="004268ED" w:rsidRDefault="00950248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>Здійснюючи кредитні операції з векселями, банки можуть і зазнають значних втрат, які пов’язані з неплатоспроможністю векселедавця. Хоча банком і перевіряється економічна надійність векселів, що приймаються у заставу, на момент оплати векселя, платник може виявитися неплатоспроможним, що значно утруднює або і взагалі робить неможливим повернення банком кредиту. Банки виконують доручення векселеутримувачів і беруть на себе відповідальність за пред’явлення векселів у строк платнику і одержання належних платежів. Якщо платіж надійде, вексель повернеться боржнику. У разі ненадходження платежу вексель повертається векселеутримувачу, але з опротестуванням неплатежу. Отже, банк відповідає за наслідки, які з’явилися через невчинення протесту.</w:t>
      </w:r>
    </w:p>
    <w:p w:rsidR="004268ED" w:rsidRDefault="00950248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 xml:space="preserve">Якщо при врахуванні векселів банк зазнає певного ризику, оплачуючи вексель (за мінусом дисконту), то, здійснюючи інкасо векселя, він приймає на себе лише доручення одержати належний за векселем платіж у визначений термін і передати його власнику векселя. Роль банку зводиться лише до точного виконання інструкцій клієнта-векселеутримувача. За здійснення інкасо банк отримує комісійну винагороду. Банк також не ризикує, виступаючи як доміциліат, оскільки він оплачує вексель лише у тому випадку, якщо платник вніс йому раніше вексельну суму або якщо платник має у нього на своєму розрахунковому рахунку достатні кошти і уповноважує банк списати з його рахунка суму, необхідну для оплати векселя. У протилежному разі банк відмовляє у платежі, і вексель опротестовується звичайним порядком проти векселедавця. </w:t>
      </w:r>
    </w:p>
    <w:p w:rsidR="004268ED" w:rsidRDefault="00950248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>Проблеми банківського посередництва в Україні полягають,  передусім у правовій неврегулюваності питань, що виникають як при залученні, так і при розподілі фінансових ресурсів. Економічна нестабільність і правова незахищеність сприяють відтоку фінансових ресурсів і подорожчанню банківського кредиту. В українському законодавстві не передбачена ні адміністративна, ні кримінальна відповідальність за несплату за векселями, як і відповідальність за неповернення кредитів. Потребують перегляду і доповнення статті кримінального кодексу про господарські злочини.</w:t>
      </w:r>
    </w:p>
    <w:p w:rsidR="004268ED" w:rsidRDefault="004268ED">
      <w:bookmarkStart w:id="0" w:name="_GoBack"/>
      <w:bookmarkEnd w:id="0"/>
    </w:p>
    <w:sectPr w:rsidR="00426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248"/>
    <w:rsid w:val="004268ED"/>
    <w:rsid w:val="00950248"/>
    <w:rsid w:val="00A6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B5C821AF-0AEE-40A7-BB9A-30A049B3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  <w:jc w:val="both"/>
    </w:pPr>
    <w:rPr>
      <w:snapToGrid w:val="0"/>
      <w:sz w:val="28"/>
      <w:szCs w:val="20"/>
    </w:rPr>
  </w:style>
  <w:style w:type="paragraph" w:customStyle="1" w:styleId="10">
    <w:name w:val="çàãîëîâîê 1"/>
    <w:basedOn w:val="a"/>
    <w:next w:val="a"/>
    <w:pPr>
      <w:keepNext/>
    </w:pPr>
    <w:rPr>
      <w:rFonts w:ascii="Arial" w:hAnsi="Arial"/>
      <w:b/>
      <w:i/>
      <w:szCs w:val="20"/>
      <w:lang w:val="uk-UA"/>
    </w:rPr>
  </w:style>
  <w:style w:type="paragraph" w:customStyle="1" w:styleId="2">
    <w:name w:val="çàãîëîâîê 2"/>
    <w:basedOn w:val="a"/>
    <w:next w:val="a"/>
    <w:pPr>
      <w:keepNext/>
      <w:jc w:val="center"/>
    </w:pPr>
    <w:rPr>
      <w:rFonts w:ascii="Arial" w:hAnsi="Arial"/>
      <w:b/>
      <w:i/>
      <w:szCs w:val="20"/>
      <w:lang w:val="uk-UA"/>
    </w:rPr>
  </w:style>
  <w:style w:type="paragraph" w:customStyle="1" w:styleId="20">
    <w:name w:val="Îñíîâíîé òåêñò 2"/>
    <w:basedOn w:val="a"/>
    <w:rPr>
      <w:rFonts w:ascii="Arial" w:hAnsi="Arial"/>
      <w:b/>
      <w:i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Проблеми посередницької діяльності комерційних банків в Україні</vt:lpstr>
    </vt:vector>
  </TitlesOfParts>
  <Manager>Економіка. Банківська справа</Manager>
  <Company>Економіка. Банківська справа</Company>
  <LinksUpToDate>false</LinksUpToDate>
  <CharactersWithSpaces>14341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Проблеми посередницької діяльності комерційних банків в Україні</dc:title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dcterms:created xsi:type="dcterms:W3CDTF">2014-04-14T14:42:00Z</dcterms:created>
  <dcterms:modified xsi:type="dcterms:W3CDTF">2014-04-14T14:42:00Z</dcterms:modified>
  <cp:category>Економіка. Банківська справа</cp:category>
</cp:coreProperties>
</file>