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63" w:rsidRDefault="00915063" w:rsidP="00B750F9">
      <w:pPr>
        <w:pStyle w:val="1"/>
      </w:pPr>
    </w:p>
    <w:p w:rsidR="009F5617" w:rsidRPr="00B750F9" w:rsidRDefault="00B750F9" w:rsidP="00B750F9">
      <w:pPr>
        <w:pStyle w:val="1"/>
      </w:pPr>
      <w:r>
        <w:t>Париж</w:t>
      </w:r>
      <w:r w:rsidRPr="00B750F9">
        <w:t>ский клуб кредиторов</w:t>
      </w:r>
    </w:p>
    <w:p w:rsidR="00B750F9" w:rsidRDefault="00B750F9" w:rsidP="009F5617"/>
    <w:p w:rsidR="009F5617" w:rsidRPr="009F5617" w:rsidRDefault="009F5617" w:rsidP="009F5617">
      <w:r w:rsidRPr="00B750F9">
        <w:rPr>
          <w:u w:val="single"/>
        </w:rPr>
        <w:t>Парижский клуб кредиторов</w:t>
      </w:r>
      <w:r>
        <w:t xml:space="preserve"> -</w:t>
      </w:r>
      <w:r w:rsidRPr="009F5617">
        <w:t xml:space="preserve"> это важнейшее неформальное финансовое объединение лидеров ми</w:t>
      </w:r>
      <w:r>
        <w:t xml:space="preserve">ровой экономики. </w:t>
      </w:r>
      <w:r w:rsidR="00975DD3" w:rsidRPr="009F5617">
        <w:t>Парижский клуб кредиторов был создан в 1956 году для обсуждения и урегулирования проблем задолженности суверенных государств.</w:t>
      </w:r>
      <w:r w:rsidR="00975DD3">
        <w:t xml:space="preserve"> </w:t>
      </w:r>
      <w:r w:rsidR="001C7BBC">
        <w:t>К</w:t>
      </w:r>
      <w:r>
        <w:t xml:space="preserve">луб </w:t>
      </w:r>
      <w:r w:rsidRPr="009F5617">
        <w:t>объединяет в себе представител</w:t>
      </w:r>
      <w:r>
        <w:t xml:space="preserve">ей банков-кредиторов 19 стран: </w:t>
      </w:r>
      <w:r w:rsidRPr="009F5617">
        <w:t xml:space="preserve">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w:t>
      </w:r>
    </w:p>
    <w:p w:rsidR="009F5617" w:rsidRDefault="009F5617" w:rsidP="009F5617">
      <w:r w:rsidRPr="009F5617">
        <w:t>Главная идея деятельности Парижского клуба - проявлять заботу о наиболее бедных странах, имеющих явно безнадежную внешнюю задолженность. Общественное мнение вполне поддерживает списание беднейшим странам части долгов. Еще в декабре 1994 года Парижский клуб решил, что в отдельных случаях может быть списано до 67 % долга той или иной страны. В феврале 1995 года Уганда стала первой страной, получившей такую скидку. Сейчас максимальная скидка увеличена до 80 %. Максимальная скидка предоставляется не всем. Для этого должнику нужно не только быть бедным, но и активно проводить рыночные реформы. "Парижский клуб"</w:t>
      </w:r>
      <w:r w:rsidR="00105AD1">
        <w:t xml:space="preserve"> не имеет </w:t>
      </w:r>
      <w:r w:rsidRPr="009F5617">
        <w:t>штаб-квартиры, а главное -  устава. Другими словами, этот клуб не имеет юридического статуса. Тем не менее, за 40 с лишним лет своего существования клуб стал одним из главных действующих лиц в проведении международной стратегии в области кредитования и обеспечения погашения задолженностей.</w:t>
      </w:r>
      <w:r>
        <w:t xml:space="preserve"> </w:t>
      </w:r>
    </w:p>
    <w:p w:rsidR="009F5617" w:rsidRDefault="009F5617" w:rsidP="009F5617"/>
    <w:p w:rsidR="00B750F9" w:rsidRPr="00B750F9" w:rsidRDefault="00B750F9" w:rsidP="00B750F9">
      <w:r w:rsidRPr="00B750F9">
        <w:t>17 сентября 1997 года тогдашний первый вице-премьер правительства РФ Анатолий Чубайс, как представитель России, подписал меморандум "О взаимопонимании о вступлении России в Парижский клуб в качестве полноправного участника (страны-кредитора)".</w:t>
      </w:r>
    </w:p>
    <w:p w:rsidR="00B750F9" w:rsidRDefault="00B750F9" w:rsidP="00B750F9">
      <w:r w:rsidRPr="00B750F9">
        <w:t>Членство в этой организации позволило России требовать возврата советских долгов развивающихся стран. Напомним, что при распаде СССР наша страна полностью взяла на себя все его долги. Но отдать их тогда она была не в состоянии и в 1992 году обратилась к кредиторам с просьбой растянуть выплату на 20 лет.</w:t>
      </w:r>
      <w:r>
        <w:t xml:space="preserve"> </w:t>
      </w:r>
    </w:p>
    <w:p w:rsidR="00B750F9" w:rsidRDefault="00B750F9" w:rsidP="00B750F9">
      <w:r w:rsidRPr="00B750F9">
        <w:t xml:space="preserve">Долги России перед членами Клуба на момент вступления превышали 50 млрд. долл. Это были займы, сделанные СССР в последние годы существования, когда страна пыталась решить за счет иностранных инвестиций внутренние проблемы в условиях сильно подешевевшей на мировых рынках нефти. Как правопреемница СССР Россия должна не только странам Парижского клуба, но и частным компаниям. Этот долг меняется на российские еврооблигации. </w:t>
      </w:r>
    </w:p>
    <w:p w:rsidR="00B750F9" w:rsidRPr="00B750F9" w:rsidRDefault="00B750F9" w:rsidP="00B750F9">
      <w:r w:rsidRPr="00B750F9">
        <w:t>Однако нам должны были почти в три раза больше</w:t>
      </w:r>
      <w:r>
        <w:t xml:space="preserve">. </w:t>
      </w:r>
      <w:r w:rsidRPr="00B750F9">
        <w:t xml:space="preserve">Большинство из 54 стран-должников после развала СССР отказывались признать любые долги перед Россией. Основанием для этого служила международная норма, не признающая военные поставки госдолгом. Кроме того, не всегда кредитные договоры с прокоммунистическими режимами оформлялись должным образом, а частая смена правительств в третьих странах практически аннулировала ранее заключенные договоры. </w:t>
      </w:r>
    </w:p>
    <w:p w:rsidR="00B750F9" w:rsidRPr="00B750F9" w:rsidRDefault="00B750F9" w:rsidP="00B750F9">
      <w:r w:rsidRPr="00B750F9">
        <w:t xml:space="preserve">На членов Парижского клуба приходилось 52 млрд. долл. советских долгов, из которых Россия по вступлению в организацию простила 40 млрд. Но этот щедрый вклад был компенсирован особыми условиями членства. </w:t>
      </w:r>
    </w:p>
    <w:p w:rsidR="00B750F9" w:rsidRDefault="00B750F9" w:rsidP="00B750F9">
      <w:r w:rsidRPr="00B750F9">
        <w:t>В лице этого собрания кредиторов наша страна получила ощутимую поддержку в переговорах со своими должниками. По условиям, если страна-должник, признающая решение Парижского клуба, не выполняет своих обязательств, в ее отношении свертываются международные финансовые программы Международного валютного фонда. Чтобы отсрочить выплаты по долгу или изменить его структуру, и Парижский клуб, и западные коммерческие банки требуют от должников готовности выполнять соответствующие стабилизационные программы МВФ. Но самое главное, на что рассчитывали российские переговорщики: повысить статус страны на мировой арене.</w:t>
      </w:r>
    </w:p>
    <w:p w:rsidR="008E609E" w:rsidRPr="00B750F9" w:rsidRDefault="008E609E" w:rsidP="00B750F9">
      <w:r>
        <w:t>С</w:t>
      </w:r>
      <w:r w:rsidRPr="008E609E">
        <w:t xml:space="preserve">тоит отметить, что партнерство с Парижским клубом </w:t>
      </w:r>
      <w:r>
        <w:t>принесла</w:t>
      </w:r>
      <w:r w:rsidRPr="008E609E">
        <w:t xml:space="preserve"> не только выгоды, но и потери. Россия за </w:t>
      </w:r>
      <w:r>
        <w:t>те</w:t>
      </w:r>
      <w:r w:rsidRPr="008E609E">
        <w:t xml:space="preserve"> годы больше всех в мире списала долгов развивающимся странам. Сумма «прощения» составляет десятки миллиардов долларов. </w:t>
      </w:r>
    </w:p>
    <w:p w:rsidR="00B750F9" w:rsidRDefault="00B750F9" w:rsidP="00B750F9"/>
    <w:p w:rsidR="00787616" w:rsidRPr="00787616" w:rsidRDefault="00787616" w:rsidP="00787616">
      <w:pPr>
        <w:rPr>
          <w:rStyle w:val="a6"/>
          <w:bCs/>
          <w:color w:val="auto"/>
          <w:u w:val="none"/>
        </w:rPr>
      </w:pPr>
      <w:r w:rsidRPr="00787616">
        <w:rPr>
          <w:rStyle w:val="a6"/>
          <w:bCs/>
          <w:color w:val="auto"/>
          <w:u w:val="none"/>
        </w:rPr>
        <w:t xml:space="preserve">Уже в августе 2006 года было официально объявлено, что Россия расплатилась с Парижским клубом по долгам бывшего СССР. Досрочно отдав почти 24 миллиарда долларов, государство сэкономило </w:t>
      </w:r>
      <w:r w:rsidR="00105AD1" w:rsidRPr="00787616">
        <w:rPr>
          <w:rStyle w:val="a6"/>
          <w:bCs/>
          <w:color w:val="auto"/>
          <w:u w:val="none"/>
        </w:rPr>
        <w:t xml:space="preserve">7,7 млрд. долларов </w:t>
      </w:r>
      <w:r w:rsidRPr="00787616">
        <w:rPr>
          <w:rStyle w:val="a6"/>
          <w:bCs/>
          <w:color w:val="auto"/>
          <w:u w:val="none"/>
        </w:rPr>
        <w:t xml:space="preserve"> только на процентах. Теперь Россия готова сама давать в долг. </w:t>
      </w:r>
    </w:p>
    <w:p w:rsidR="00787616" w:rsidRPr="00787616" w:rsidRDefault="00787616" w:rsidP="00787616">
      <w:pPr>
        <w:rPr>
          <w:rStyle w:val="a6"/>
          <w:bCs/>
          <w:color w:val="auto"/>
          <w:u w:val="none"/>
        </w:rPr>
      </w:pPr>
      <w:r w:rsidRPr="00787616">
        <w:rPr>
          <w:rStyle w:val="a6"/>
          <w:bCs/>
          <w:color w:val="auto"/>
          <w:u w:val="none"/>
        </w:rPr>
        <w:t xml:space="preserve">С Парижским клубом Москва расквиталась на 15 лет раньше срока. </w:t>
      </w:r>
    </w:p>
    <w:p w:rsidR="00787616" w:rsidRPr="00787616" w:rsidRDefault="00787616" w:rsidP="00787616">
      <w:pPr>
        <w:rPr>
          <w:rStyle w:val="a6"/>
          <w:bCs/>
          <w:color w:val="auto"/>
          <w:u w:val="none"/>
        </w:rPr>
      </w:pPr>
      <w:r w:rsidRPr="00787616">
        <w:rPr>
          <w:rStyle w:val="a6"/>
          <w:bCs/>
          <w:color w:val="auto"/>
          <w:u w:val="none"/>
        </w:rPr>
        <w:t xml:space="preserve">Чтобы подтвердить статус богатеющей державы, Россия готова сама кредитовать бедные страны. </w:t>
      </w:r>
    </w:p>
    <w:p w:rsidR="00787616" w:rsidRPr="00787616" w:rsidRDefault="00787616" w:rsidP="00787616">
      <w:pPr>
        <w:rPr>
          <w:rStyle w:val="a6"/>
          <w:bCs/>
          <w:color w:val="auto"/>
          <w:u w:val="none"/>
        </w:rPr>
      </w:pPr>
      <w:r w:rsidRPr="00787616">
        <w:rPr>
          <w:rStyle w:val="a6"/>
          <w:bCs/>
          <w:color w:val="auto"/>
          <w:u w:val="none"/>
        </w:rPr>
        <w:t>Не все страны-кредиторы решили получить российский долг деньгами. Португалия в качестве оплаты - 81 миллиона долларов - предпочла приобрести российские самолеты-амфибии для тушения лесных пожаров. Финляндия на 30 миллионов долларов закупит отечественные научные разработки.</w:t>
      </w:r>
    </w:p>
    <w:p w:rsidR="00787616" w:rsidRPr="00787616" w:rsidRDefault="00787616" w:rsidP="00787616">
      <w:pPr>
        <w:rPr>
          <w:rStyle w:val="a6"/>
          <w:bCs/>
          <w:color w:val="auto"/>
          <w:u w:val="none"/>
        </w:rPr>
      </w:pPr>
      <w:r w:rsidRPr="00787616">
        <w:rPr>
          <w:rStyle w:val="a6"/>
          <w:bCs/>
          <w:color w:val="auto"/>
          <w:u w:val="none"/>
        </w:rPr>
        <w:t>Секрет успеха, в первую очередь - в экономике, которая больше не нуждается в таких заемных средствах, но также и в искусстве российских переговорщиков: им удалось убедить кредиторов досрочно забрать свои деньги. Погашение долга оказалось возможным благодаря доходам, полученным от экспорта нефти. Многие эксперты склонны считать, что именно политика сыграла решающую роль, ведь рассчитывать экономию бюджетных средств можно по разным статистическим методикам, тогда и суммы будут иные.</w:t>
      </w:r>
    </w:p>
    <w:p w:rsidR="00590FD1" w:rsidRDefault="00590FD1" w:rsidP="00787616">
      <w:pPr>
        <w:rPr>
          <w:rStyle w:val="a6"/>
          <w:bCs/>
          <w:color w:val="auto"/>
          <w:u w:val="none"/>
        </w:rPr>
      </w:pPr>
      <w:r>
        <w:rPr>
          <w:rStyle w:val="a6"/>
          <w:bCs/>
          <w:color w:val="auto"/>
          <w:u w:val="none"/>
        </w:rPr>
        <w:t>Таким образом, на сегодняшний день выплаты по кредитам странам-кредиторам Парижского клуба равны нулю.</w:t>
      </w:r>
    </w:p>
    <w:p w:rsidR="00590FD1" w:rsidRDefault="00590FD1" w:rsidP="00787616">
      <w:pPr>
        <w:rPr>
          <w:rStyle w:val="a6"/>
          <w:bCs/>
          <w:color w:val="auto"/>
          <w:u w:val="none"/>
        </w:rPr>
      </w:pPr>
    </w:p>
    <w:p w:rsidR="00AA3F94" w:rsidRPr="00547162" w:rsidRDefault="00AA3F94" w:rsidP="00AA3F94">
      <w:pPr>
        <w:pStyle w:val="1"/>
        <w:rPr>
          <w:rStyle w:val="a6"/>
          <w:bCs w:val="0"/>
          <w:color w:val="auto"/>
          <w:u w:val="none"/>
        </w:rPr>
      </w:pPr>
      <w:r>
        <w:rPr>
          <w:rStyle w:val="a6"/>
          <w:bCs w:val="0"/>
          <w:color w:val="auto"/>
          <w:u w:val="none"/>
        </w:rPr>
        <w:t>Лондонский клуб кредиторов</w:t>
      </w:r>
    </w:p>
    <w:p w:rsidR="00142D2D" w:rsidRPr="00142D2D" w:rsidRDefault="00142D2D" w:rsidP="00142D2D">
      <w:r w:rsidRPr="00142D2D">
        <w:rPr>
          <w:u w:val="single"/>
        </w:rPr>
        <w:t>Лондонский клуб</w:t>
      </w:r>
      <w:r w:rsidRPr="00142D2D">
        <w:t xml:space="preserve"> - это неформальная организация банков-кредиторов, созданная для урегулирования вопросов задолженности иностранных заёмщиков перед членами этого клуба. Первые заседания Лондонского клуба состоялись в 1976 г. для рассмотрения вопросов задолженности Заира перед частными кредиторами.</w:t>
      </w:r>
    </w:p>
    <w:p w:rsidR="00142D2D" w:rsidRPr="00142D2D" w:rsidRDefault="00142D2D" w:rsidP="00142D2D">
      <w:r w:rsidRPr="00142D2D">
        <w:t>Деятельность Лондонского клуба похожа по целям на деятельность Парижского клуба. Отличие состоит в том, что Парижский клуб объединяет государства-кредиторы в лице представителей центральных банков и министров финансов стран-кредиторов, в то время как Лондонский клуб объединяет негосударственные, коммерческие банки. Членами Лондонского клуба являются около 1000 банков из разных стран.</w:t>
      </w:r>
    </w:p>
    <w:p w:rsidR="00142D2D" w:rsidRPr="00142D2D" w:rsidRDefault="00142D2D" w:rsidP="00142D2D">
      <w:r w:rsidRPr="00142D2D">
        <w:t>Интересы банков-кредиторов в Лондонском клубе представляет банковский консультативный комитет (БКК), в котором представлены те банки, на которые приходится максимальная часть долга данной страны. Соглашение, достигнутое между страной-должником и комитетом, должно получить поддержку банков, на которые приходится 90-95% непогашенных обязательств должника, и только после этого данное соглашение может быть официально подписано.</w:t>
      </w:r>
    </w:p>
    <w:p w:rsidR="00142D2D" w:rsidRPr="00142D2D" w:rsidRDefault="00142D2D" w:rsidP="00142D2D">
      <w:r w:rsidRPr="00142D2D">
        <w:t>Процедура урегулирования долга включает  разработку стратегии урегулирования долга. Затем страна-должник проводит консультации со своими главными кредиторами с целью образования руководящего комитета. Обычно страна-должник выбирает банки, с пониманием относящиеся к выдвигаемым ею условиям работы в составе БКК и представляющие географические регионы, перед которыми страна имеет долговые обязательства.</w:t>
      </w:r>
    </w:p>
    <w:p w:rsidR="00142D2D" w:rsidRDefault="00142D2D" w:rsidP="00142D2D">
      <w:r w:rsidRPr="00142D2D">
        <w:t>В БКК по реструктуризации российского внешнего долга в последние годы входили: Deutsche Bank, Credit Lyonnais, BNP, Commerzbank, BNL, Bank of Tokyo-Mitsubishi, Bank Austria, Dresdner Bank.</w:t>
      </w:r>
    </w:p>
    <w:p w:rsidR="005F04BE" w:rsidRDefault="005F04BE" w:rsidP="005F04BE"/>
    <w:p w:rsidR="0009552C" w:rsidRDefault="0009552C" w:rsidP="0009552C">
      <w:r w:rsidRPr="0009552C">
        <w:t>РФ вступила в Лондонский клуб 6 октября 1997 г. Задолженность РФ перед Лондонским клубом по состоянию на 3 октября 1997 г. составила 21,9 млрд. долл.</w:t>
      </w:r>
    </w:p>
    <w:p w:rsidR="00D82A98" w:rsidRPr="00D82A98" w:rsidRDefault="00D82A98" w:rsidP="00D82A98">
      <w:r w:rsidRPr="00D82A98">
        <w:t xml:space="preserve">Задолженность Российской Федерации перед Лондонским клубом включает займы бывшего СССР, а также гарантированные государством заимствования Внешэкономбанка и составляет около 31,8 млрд.долл.США -основной долг по реструктурированным кредитам (PRINs) - 22,2 млрд.долл. США со сроком погашения в 2002-2020 гг. и по облигациям Внешэкономбанка (IANs) – 6,8 млрд.долл.США, а также просроченные платежи в размере 2,8 млрд.долл.США,. </w:t>
      </w:r>
    </w:p>
    <w:p w:rsidR="00D82A98" w:rsidRPr="00D82A98" w:rsidRDefault="00D82A98" w:rsidP="00D82A98">
      <w:r w:rsidRPr="00D82A98">
        <w:t xml:space="preserve">Переговоры по погашению российских обязательств начались в 1991г. Важным фактором в сближении позиций сторон явилось Заявление Правительства Российской Федерации от 18 октября 1994г. о порядке урегулирования межбанковского долга в качестве коммерческой задолженности. </w:t>
      </w:r>
    </w:p>
    <w:p w:rsidR="00D82A98" w:rsidRPr="00D82A98" w:rsidRDefault="00D82A98" w:rsidP="00D82A98">
      <w:r w:rsidRPr="00D82A98">
        <w:t xml:space="preserve">16 ноября 1995г. во Франкфурте подписано соглашение о 25-летней реструктуризации основного долга бывшего СССР с правом отсрочки платежей на 7 лет. В отношении процентов российская сторона приняла обязательство выплатить 1,5 млрд.долл.США в течение 1996г., а оставшуюся часть погасить в течение 20 лет с тем же периодом отсрочки. </w:t>
      </w:r>
    </w:p>
    <w:p w:rsidR="00D82A98" w:rsidRPr="00D82A98" w:rsidRDefault="00D82A98" w:rsidP="00D82A98">
      <w:r w:rsidRPr="00D82A98">
        <w:t xml:space="preserve">Договоренность с Лондонским клубом создала важный прецедент, на основе которого было достигнуто сходное соглашение о долгосрочной реструктуризации внешнего долга бывшего СССР перед Парижским клубом (38 млрд.долл.США) на аналогичных условиях. </w:t>
      </w:r>
    </w:p>
    <w:p w:rsidR="00D82A98" w:rsidRPr="00D82A98" w:rsidRDefault="00D82A98" w:rsidP="00D82A98">
      <w:r w:rsidRPr="00D82A98">
        <w:t xml:space="preserve">6 октября 1997г. в Москве подписан пакет документов об урегулировании банковской задолженности России перед членами Лондонского клуба, что формализовало ранее достигнутые договоренности. </w:t>
      </w:r>
    </w:p>
    <w:p w:rsidR="00D82A98" w:rsidRPr="00D82A98" w:rsidRDefault="00D82A98" w:rsidP="00D82A98">
      <w:r w:rsidRPr="00D82A98">
        <w:t xml:space="preserve">В декабре 1997г. Россия выплатила Лондонскому клубу около 3 млрд.долл.США - часть суммы консолидированных просроченных процентов по основной задолженности. В 1998г. выплаты России в счет погашения задолженности перед Лондонским клубом должны были составить 724 млн.долл.США, в т.ч. 578 млн.долл.США - наличными. В результате переговоров в ноябре 1998г. достигнута договоренность о реструктуризации графика платежей, приходящихся на 1998г. Сумма просроченных платежей России за счет причитавшихся к погашению в 1999г. составила свыше 1,2 млрд.долл.США. </w:t>
      </w:r>
    </w:p>
    <w:p w:rsidR="00D82A98" w:rsidRPr="00D82A98" w:rsidRDefault="00D82A98" w:rsidP="00D82A98">
      <w:r w:rsidRPr="00D82A98">
        <w:t xml:space="preserve">Активная торговля в последние годы на международном финансовом рынке долговыми требованиями к Внешэкономбанку привела к существенным изменениям в первоначальной расстановке сил в составе кредиторов. </w:t>
      </w:r>
    </w:p>
    <w:p w:rsidR="00D82A98" w:rsidRDefault="00D82A98" w:rsidP="00D82A98">
      <w:r w:rsidRPr="00D82A98">
        <w:t>На момент подписания соглашения 1997г. у России в Клубе было 420 кредиторов, в большинстве – европейские. Впоследствии значительная часть требований по реструктуризированным кредитам (порядка 33%) перешла к американским банкам и инвестиционным фондам, которые долго не поддерживали идею пересмотра параметров и сроков погашения российской задолженности. В дальнейшем общее количество кредиторов увеличилось до 1000, что значительно осложнило достижение единого подхода в работе с российской задолженностью. В результате предложения по условиям капитализации процентных платежей по реструктуризированным кредитам в течение длительного времени не поддерживались требуемым числом голосов (необходимо было 95%, а поддержали только 70%).</w:t>
      </w:r>
      <w:r>
        <w:t xml:space="preserve"> </w:t>
      </w:r>
    </w:p>
    <w:p w:rsidR="00D82A98" w:rsidRDefault="00D82A98" w:rsidP="00D82A98"/>
    <w:p w:rsidR="00D82A98" w:rsidRDefault="00D82A98" w:rsidP="00D82A98">
      <w:r w:rsidRPr="00D82A98">
        <w:t>Впервые Россия частично не выполнила обязательства по выплатам перед Лондонским клубом в декабре 1998 года, а в июне и декабре 1999 года не заплатила вовсе, после чего начался этап консультаций и переговоров.</w:t>
      </w:r>
    </w:p>
    <w:p w:rsidR="008E6082" w:rsidRDefault="00444D36" w:rsidP="00444D36">
      <w:r w:rsidRPr="00444D36">
        <w:rPr>
          <w:bCs/>
        </w:rPr>
        <w:t xml:space="preserve">В октябре того же года </w:t>
      </w:r>
      <w:r w:rsidRPr="00444D36">
        <w:t xml:space="preserve">в Лондоне начались однодневные консультации между Россией и Лондонским клубом по вопросу о долгосрочной реструктуризации внешней финансовой задолженности бывшего СССР. </w:t>
      </w:r>
    </w:p>
    <w:p w:rsidR="00444D36" w:rsidRDefault="008E6082" w:rsidP="008E6082">
      <w:r>
        <w:t>России было предложена возможность</w:t>
      </w:r>
      <w:r w:rsidR="00444D36" w:rsidRPr="00444D36">
        <w:t xml:space="preserve"> перевода всех просроченных долговых обязательств по коммерческому долгу бывшего СССР в разряд ев</w:t>
      </w:r>
      <w:r>
        <w:t xml:space="preserve">рооблигаций. На таких условиях </w:t>
      </w:r>
      <w:r w:rsidR="00444D36" w:rsidRPr="00444D36">
        <w:t xml:space="preserve">Лондонский клуб готов списать 30-35% долга. </w:t>
      </w:r>
      <w:r w:rsidR="002427FF">
        <w:t xml:space="preserve"> </w:t>
      </w:r>
    </w:p>
    <w:p w:rsidR="002427FF" w:rsidRPr="002427FF" w:rsidRDefault="002427FF" w:rsidP="002427FF">
      <w:r w:rsidRPr="002427FF">
        <w:t xml:space="preserve">11 февраля 2000 г. было подписано соглашение о реструктуризации российской коммерческой задолженности. Параметры урегулирования предусматривают списание 36,5% (10,6 млрд.долл.США) основной суммы долга (PRINs) и 33% (2,2 млрд.долл.США) облигаций Внешэкономбанка (IANs). Оставшаяся сумма конвертируется в еврооблигации, под гарантии российского правительства, с отсрочкой погашения в 30 лет </w:t>
      </w:r>
      <w:r>
        <w:t xml:space="preserve">с 7-летним льготным периодом. В </w:t>
      </w:r>
      <w:r w:rsidRPr="002427FF">
        <w:t xml:space="preserve">первые 6 месяцев после выпуска доход по купонам евроооблигаций составил 2,25 %, в следующие 6 месяцев – 2,5%, далее в течение 6 лет – 5% и начиная с восьмого года обращения и до полного погашения – 7,5%. </w:t>
      </w:r>
    </w:p>
    <w:p w:rsidR="002427FF" w:rsidRPr="002427FF" w:rsidRDefault="002427FF" w:rsidP="002427FF">
      <w:r w:rsidRPr="002427FF">
        <w:t xml:space="preserve">Соглашение распространилось и на просроченные платежи в размере 2,8 млрд.долл.США, на которые также выпущены еврооблигации, но с 10-летним сроком погашения. Кредиторы получили 9,5% номинала в момент эмиссии, а затем предусматривались выплаты по купонам в размере 8,25% при 6-летнем льготном периоде. </w:t>
      </w:r>
    </w:p>
    <w:p w:rsidR="002427FF" w:rsidRPr="002427FF" w:rsidRDefault="002427FF" w:rsidP="002427FF">
      <w:r w:rsidRPr="002427FF">
        <w:t xml:space="preserve">Вторая причина улучшения положения России на международных финансовых рынках заключается в том, что значительная часть российского долга списана. Значит - проще будет возвращать оставшиеся долги. </w:t>
      </w:r>
    </w:p>
    <w:p w:rsidR="00CF6A57" w:rsidRPr="00CF6A57" w:rsidRDefault="002427FF" w:rsidP="00CF6A57">
      <w:r w:rsidRPr="002427FF">
        <w:t>И</w:t>
      </w:r>
      <w:r w:rsidR="008E6082">
        <w:t>,</w:t>
      </w:r>
      <w:r w:rsidRPr="002427FF">
        <w:t xml:space="preserve"> возможно,  частные банки-кредиторы, входящие в Лондонский клуб, решили, что, если списать России часть ее долга, то появляется возможность вернуть хотя бы другую часть. Ведь до переговоров существовала опасность, что Россия предложит вернуть меньшую часть долга, чем та, которую она согласилась вернуть.</w:t>
      </w:r>
      <w:r w:rsidR="00CF6A57" w:rsidRPr="00CF6A57">
        <w:t xml:space="preserve"> </w:t>
      </w:r>
    </w:p>
    <w:p w:rsidR="00CF6A57" w:rsidRPr="00CF6A57" w:rsidRDefault="00CF6A57" w:rsidP="00CF6A57">
      <w:r w:rsidRPr="00CF6A57">
        <w:t xml:space="preserve">И кредиторы согласились списать часть долга на условиях, предложенных Москвой, потому что другого они могли бы и не добиться. Практически, Россия поставила вопрос так: или берите, что предлагаем, или можете не получить ничего... </w:t>
      </w:r>
    </w:p>
    <w:p w:rsidR="00D13444" w:rsidRPr="00D13444" w:rsidRDefault="00D13444" w:rsidP="00D13444">
      <w:r w:rsidRPr="00D13444">
        <w:t xml:space="preserve">В 2001 г. обмен российских долгов Лондонскому клубу на новые еврооблигации был завершен. </w:t>
      </w:r>
    </w:p>
    <w:p w:rsidR="00D13444" w:rsidRDefault="00D13444" w:rsidP="00D13444">
      <w:r w:rsidRPr="00D13444">
        <w:t>Урегулирование отношений с Лондонским клубом банков-кредиторов явилось одним из первых сигналов положительного изменения в общей позиции международных финансовых кругов по отношению к России. Был создан также прецедент, укрепивший российскую позицию в рамках переговорного процесса с Парижским клубом по всеобъемлющей реструктуризации российской задолженности в части долгов бывшего СССР.</w:t>
      </w:r>
    </w:p>
    <w:p w:rsidR="00D13444" w:rsidRDefault="00D13444" w:rsidP="00CF6A57"/>
    <w:p w:rsidR="00491450" w:rsidRDefault="00491450" w:rsidP="00CF6A57"/>
    <w:p w:rsidR="00491450" w:rsidRDefault="00491450"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B90361" w:rsidP="00CF6A57"/>
    <w:p w:rsidR="00B90361" w:rsidRDefault="00491450" w:rsidP="00CF6A57">
      <w:r>
        <w:t>По данным Центрального Банка внешняя задолж</w:t>
      </w:r>
      <w:r w:rsidR="00B90361">
        <w:t>е</w:t>
      </w:r>
      <w:r>
        <w:t>н</w:t>
      </w:r>
      <w:r w:rsidR="00B90361">
        <w:t>н</w:t>
      </w:r>
      <w:r>
        <w:t>ость России клубам кредиторов</w:t>
      </w:r>
    </w:p>
    <w:p w:rsidR="00491450" w:rsidRDefault="00B90361" w:rsidP="00CF6A57">
      <w:r w:rsidRPr="00B90361">
        <w:t>(млрд. долл. США):</w:t>
      </w:r>
    </w:p>
    <w:p w:rsidR="00B90361" w:rsidRPr="00B90361" w:rsidRDefault="00B90361" w:rsidP="00CF6A57"/>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276"/>
        <w:gridCol w:w="1275"/>
        <w:gridCol w:w="1418"/>
        <w:gridCol w:w="1417"/>
        <w:gridCol w:w="1276"/>
      </w:tblGrid>
      <w:tr w:rsidR="00B90361" w:rsidTr="00B90361">
        <w:trPr>
          <w:trHeight w:val="541"/>
        </w:trPr>
        <w:tc>
          <w:tcPr>
            <w:tcW w:w="1985" w:type="dxa"/>
          </w:tcPr>
          <w:p w:rsidR="00B90361" w:rsidRDefault="00B90361" w:rsidP="00B90361">
            <w:pPr>
              <w:ind w:left="36"/>
            </w:pPr>
          </w:p>
          <w:p w:rsidR="00B90361" w:rsidRDefault="00B90361" w:rsidP="00B90361">
            <w:pPr>
              <w:ind w:left="36"/>
            </w:pPr>
          </w:p>
        </w:tc>
        <w:tc>
          <w:tcPr>
            <w:tcW w:w="1276" w:type="dxa"/>
          </w:tcPr>
          <w:p w:rsidR="00B90361" w:rsidRPr="00B90361" w:rsidRDefault="00B90361" w:rsidP="00B90361">
            <w:pPr>
              <w:suppressAutoHyphens w:val="0"/>
            </w:pPr>
            <w:r w:rsidRPr="00B90361">
              <w:t>1</w:t>
            </w:r>
            <w:r>
              <w:t>.01.2009</w:t>
            </w:r>
            <w:r w:rsidRPr="00B90361">
              <w:t xml:space="preserve">г            </w:t>
            </w:r>
          </w:p>
          <w:p w:rsidR="00B90361" w:rsidRPr="00B90361" w:rsidRDefault="00B90361" w:rsidP="00B90361"/>
        </w:tc>
        <w:tc>
          <w:tcPr>
            <w:tcW w:w="1276" w:type="dxa"/>
          </w:tcPr>
          <w:p w:rsidR="00B90361" w:rsidRDefault="00B90361" w:rsidP="00B90361">
            <w:r>
              <w:t>1.</w:t>
            </w:r>
            <w:r w:rsidRPr="00B90361">
              <w:t>04.</w:t>
            </w:r>
            <w:r>
              <w:t>2009</w:t>
            </w:r>
            <w:r w:rsidRPr="00B90361">
              <w:t>г</w:t>
            </w:r>
          </w:p>
        </w:tc>
        <w:tc>
          <w:tcPr>
            <w:tcW w:w="1275" w:type="dxa"/>
          </w:tcPr>
          <w:p w:rsidR="00B90361" w:rsidRDefault="00B90361" w:rsidP="00B90361">
            <w:r>
              <w:t>1.</w:t>
            </w:r>
            <w:r w:rsidRPr="00B90361">
              <w:t>06.</w:t>
            </w:r>
            <w:r>
              <w:t>2009г</w:t>
            </w:r>
            <w:r w:rsidRPr="00B90361">
              <w:t xml:space="preserve"> </w:t>
            </w:r>
          </w:p>
        </w:tc>
        <w:tc>
          <w:tcPr>
            <w:tcW w:w="1418" w:type="dxa"/>
          </w:tcPr>
          <w:p w:rsidR="00B90361" w:rsidRDefault="00B90361" w:rsidP="00B90361">
            <w:r w:rsidRPr="00B90361">
              <w:t>1.10.</w:t>
            </w:r>
            <w:r>
              <w:t xml:space="preserve"> 2009</w:t>
            </w:r>
            <w:r w:rsidRPr="00B90361">
              <w:t>г</w:t>
            </w:r>
          </w:p>
        </w:tc>
        <w:tc>
          <w:tcPr>
            <w:tcW w:w="1417" w:type="dxa"/>
          </w:tcPr>
          <w:p w:rsidR="00B90361" w:rsidRDefault="00B90361" w:rsidP="00B90361">
            <w:r w:rsidRPr="00B90361">
              <w:t>1</w:t>
            </w:r>
            <w:r>
              <w:t>.01. 2010</w:t>
            </w:r>
            <w:r w:rsidRPr="00B90361">
              <w:t>г</w:t>
            </w:r>
          </w:p>
        </w:tc>
        <w:tc>
          <w:tcPr>
            <w:tcW w:w="1276" w:type="dxa"/>
          </w:tcPr>
          <w:p w:rsidR="00B90361" w:rsidRDefault="00B90361" w:rsidP="00B90361">
            <w:r w:rsidRPr="00B90361">
              <w:t>1.01.</w:t>
            </w:r>
            <w:r>
              <w:t>2010</w:t>
            </w:r>
            <w:r w:rsidRPr="00B90361">
              <w:t>г</w:t>
            </w:r>
          </w:p>
        </w:tc>
      </w:tr>
      <w:tr w:rsidR="00B90361" w:rsidTr="00B90361">
        <w:trPr>
          <w:trHeight w:val="600"/>
        </w:trPr>
        <w:tc>
          <w:tcPr>
            <w:tcW w:w="1985" w:type="dxa"/>
          </w:tcPr>
          <w:p w:rsidR="00B90361" w:rsidRPr="00B90361" w:rsidRDefault="00B90361" w:rsidP="00B90361">
            <w:pPr>
              <w:ind w:left="36"/>
              <w:rPr>
                <w:sz w:val="22"/>
                <w:szCs w:val="22"/>
              </w:rPr>
            </w:pPr>
            <w:r w:rsidRPr="00B90361">
              <w:rPr>
                <w:sz w:val="22"/>
                <w:szCs w:val="22"/>
              </w:rPr>
              <w:t>Еврооблигации, выпущенные при реструктуризации задолженности перед Лондонским клубом кредиторов</w:t>
            </w:r>
          </w:p>
          <w:p w:rsidR="00B90361" w:rsidRDefault="00B90361" w:rsidP="00B90361">
            <w:pPr>
              <w:ind w:left="36"/>
            </w:pPr>
          </w:p>
        </w:tc>
        <w:tc>
          <w:tcPr>
            <w:tcW w:w="1276"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15,1</w:t>
            </w:r>
          </w:p>
        </w:tc>
        <w:tc>
          <w:tcPr>
            <w:tcW w:w="1276"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14,0</w:t>
            </w:r>
          </w:p>
        </w:tc>
        <w:tc>
          <w:tcPr>
            <w:tcW w:w="1275"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16,3</w:t>
            </w:r>
          </w:p>
        </w:tc>
        <w:tc>
          <w:tcPr>
            <w:tcW w:w="1418"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17,3</w:t>
            </w:r>
          </w:p>
        </w:tc>
        <w:tc>
          <w:tcPr>
            <w:tcW w:w="1417"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18, 1</w:t>
            </w:r>
          </w:p>
        </w:tc>
        <w:tc>
          <w:tcPr>
            <w:tcW w:w="1276" w:type="dxa"/>
          </w:tcPr>
          <w:p w:rsidR="00B90361" w:rsidRDefault="00B90361" w:rsidP="001E0730">
            <w:pPr>
              <w:suppressAutoHyphens w:val="0"/>
              <w:jc w:val="center"/>
            </w:pPr>
          </w:p>
          <w:p w:rsidR="001E0730" w:rsidRDefault="001E0730" w:rsidP="001E0730">
            <w:pPr>
              <w:jc w:val="center"/>
            </w:pPr>
          </w:p>
          <w:p w:rsidR="001E0730" w:rsidRDefault="001E0730" w:rsidP="001E0730">
            <w:pPr>
              <w:jc w:val="center"/>
            </w:pPr>
          </w:p>
          <w:p w:rsidR="00B90361" w:rsidRDefault="00B90361" w:rsidP="001E0730">
            <w:pPr>
              <w:jc w:val="center"/>
            </w:pPr>
            <w:r w:rsidRPr="00B90361">
              <w:t>18,0</w:t>
            </w:r>
          </w:p>
        </w:tc>
      </w:tr>
      <w:tr w:rsidR="00B90361" w:rsidTr="001E0730">
        <w:trPr>
          <w:trHeight w:val="835"/>
        </w:trPr>
        <w:tc>
          <w:tcPr>
            <w:tcW w:w="1985" w:type="dxa"/>
          </w:tcPr>
          <w:p w:rsidR="00B90361" w:rsidRDefault="00B90361" w:rsidP="00B90361">
            <w:pPr>
              <w:ind w:left="36"/>
            </w:pPr>
            <w:r>
              <w:t>Долг бывшего СССР</w:t>
            </w:r>
          </w:p>
          <w:p w:rsidR="00B90361" w:rsidRDefault="00B90361" w:rsidP="00B90361">
            <w:pPr>
              <w:ind w:left="36"/>
            </w:pPr>
          </w:p>
          <w:p w:rsidR="00B90361" w:rsidRDefault="00B90361" w:rsidP="00B90361">
            <w:pPr>
              <w:ind w:left="36"/>
            </w:pPr>
          </w:p>
        </w:tc>
        <w:tc>
          <w:tcPr>
            <w:tcW w:w="1276" w:type="dxa"/>
          </w:tcPr>
          <w:p w:rsidR="00B90361" w:rsidRDefault="00B90361" w:rsidP="001E0730">
            <w:pPr>
              <w:suppressAutoHyphens w:val="0"/>
              <w:jc w:val="center"/>
            </w:pPr>
          </w:p>
          <w:p w:rsidR="00B90361" w:rsidRDefault="00B90361" w:rsidP="001E0730">
            <w:pPr>
              <w:jc w:val="center"/>
            </w:pPr>
            <w:r w:rsidRPr="00B90361">
              <w:t>4,6</w:t>
            </w:r>
          </w:p>
        </w:tc>
        <w:tc>
          <w:tcPr>
            <w:tcW w:w="1276" w:type="dxa"/>
          </w:tcPr>
          <w:p w:rsidR="00B90361" w:rsidRDefault="00B90361" w:rsidP="001E0730">
            <w:pPr>
              <w:suppressAutoHyphens w:val="0"/>
            </w:pPr>
          </w:p>
          <w:p w:rsidR="00B90361" w:rsidRDefault="00B90361" w:rsidP="001E0730">
            <w:pPr>
              <w:jc w:val="center"/>
            </w:pPr>
            <w:r w:rsidRPr="00B90361">
              <w:t>4,4</w:t>
            </w:r>
          </w:p>
        </w:tc>
        <w:tc>
          <w:tcPr>
            <w:tcW w:w="1275" w:type="dxa"/>
          </w:tcPr>
          <w:p w:rsidR="00B90361" w:rsidRDefault="00B90361" w:rsidP="001E0730">
            <w:pPr>
              <w:suppressAutoHyphens w:val="0"/>
            </w:pPr>
          </w:p>
          <w:p w:rsidR="00B90361" w:rsidRDefault="00B90361" w:rsidP="001E0730">
            <w:pPr>
              <w:jc w:val="center"/>
            </w:pPr>
            <w:r w:rsidRPr="00B90361">
              <w:t>4,4</w:t>
            </w:r>
          </w:p>
        </w:tc>
        <w:tc>
          <w:tcPr>
            <w:tcW w:w="1418" w:type="dxa"/>
          </w:tcPr>
          <w:p w:rsidR="001E0730" w:rsidRDefault="001E0730" w:rsidP="001E0730">
            <w:pPr>
              <w:suppressAutoHyphens w:val="0"/>
            </w:pPr>
          </w:p>
          <w:p w:rsidR="00B90361" w:rsidRDefault="00B90361" w:rsidP="001E0730">
            <w:pPr>
              <w:suppressAutoHyphens w:val="0"/>
              <w:jc w:val="center"/>
            </w:pPr>
            <w:r w:rsidRPr="00B90361">
              <w:t>4,5</w:t>
            </w:r>
          </w:p>
          <w:p w:rsidR="00B90361" w:rsidRDefault="00B90361" w:rsidP="001E0730">
            <w:pPr>
              <w:jc w:val="center"/>
            </w:pPr>
          </w:p>
        </w:tc>
        <w:tc>
          <w:tcPr>
            <w:tcW w:w="1417" w:type="dxa"/>
          </w:tcPr>
          <w:p w:rsidR="00B90361" w:rsidRDefault="00B90361" w:rsidP="001E0730">
            <w:pPr>
              <w:suppressAutoHyphens w:val="0"/>
            </w:pPr>
          </w:p>
          <w:p w:rsidR="00B90361" w:rsidRDefault="00B90361" w:rsidP="001E0730">
            <w:pPr>
              <w:jc w:val="center"/>
            </w:pPr>
            <w:r w:rsidRPr="00B90361">
              <w:t>3,2</w:t>
            </w:r>
          </w:p>
        </w:tc>
        <w:tc>
          <w:tcPr>
            <w:tcW w:w="1276" w:type="dxa"/>
          </w:tcPr>
          <w:p w:rsidR="00B90361" w:rsidRDefault="00B90361" w:rsidP="001E0730">
            <w:pPr>
              <w:suppressAutoHyphens w:val="0"/>
            </w:pPr>
          </w:p>
          <w:p w:rsidR="00B90361" w:rsidRDefault="00B90361" w:rsidP="001E0730">
            <w:pPr>
              <w:jc w:val="center"/>
            </w:pPr>
            <w:r w:rsidRPr="00B90361">
              <w:t>3,2</w:t>
            </w:r>
          </w:p>
        </w:tc>
      </w:tr>
      <w:tr w:rsidR="00B90361" w:rsidTr="00B90361">
        <w:trPr>
          <w:trHeight w:val="915"/>
        </w:trPr>
        <w:tc>
          <w:tcPr>
            <w:tcW w:w="1985" w:type="dxa"/>
          </w:tcPr>
          <w:p w:rsidR="00B90361" w:rsidRDefault="001E0730" w:rsidP="00B90361">
            <w:r>
              <w:t>Кредиты стран-членов Парижского клуба кредиторов</w:t>
            </w:r>
          </w:p>
        </w:tc>
        <w:tc>
          <w:tcPr>
            <w:tcW w:w="1276" w:type="dxa"/>
          </w:tcPr>
          <w:p w:rsidR="001E0730" w:rsidRDefault="001E0730" w:rsidP="001E0730">
            <w:pPr>
              <w:jc w:val="center"/>
            </w:pPr>
          </w:p>
          <w:p w:rsidR="00B90361" w:rsidRDefault="001E0730" w:rsidP="001E0730">
            <w:pPr>
              <w:jc w:val="center"/>
            </w:pPr>
            <w:r w:rsidRPr="00B90361">
              <w:t>0,0</w:t>
            </w:r>
          </w:p>
        </w:tc>
        <w:tc>
          <w:tcPr>
            <w:tcW w:w="1276" w:type="dxa"/>
          </w:tcPr>
          <w:p w:rsidR="001E0730" w:rsidRDefault="001E0730" w:rsidP="001E0730">
            <w:pPr>
              <w:jc w:val="center"/>
            </w:pPr>
          </w:p>
          <w:p w:rsidR="00B90361" w:rsidRDefault="001E0730" w:rsidP="001E0730">
            <w:pPr>
              <w:jc w:val="center"/>
            </w:pPr>
            <w:r w:rsidRPr="00B90361">
              <w:t>0,0</w:t>
            </w:r>
          </w:p>
        </w:tc>
        <w:tc>
          <w:tcPr>
            <w:tcW w:w="1275" w:type="dxa"/>
          </w:tcPr>
          <w:p w:rsidR="001E0730" w:rsidRDefault="001E0730" w:rsidP="001E0730">
            <w:pPr>
              <w:jc w:val="center"/>
            </w:pPr>
          </w:p>
          <w:p w:rsidR="00B90361" w:rsidRDefault="001E0730" w:rsidP="001E0730">
            <w:pPr>
              <w:jc w:val="center"/>
            </w:pPr>
            <w:r w:rsidRPr="00B90361">
              <w:t>0,0</w:t>
            </w:r>
          </w:p>
        </w:tc>
        <w:tc>
          <w:tcPr>
            <w:tcW w:w="1418" w:type="dxa"/>
          </w:tcPr>
          <w:p w:rsidR="001E0730" w:rsidRDefault="001E0730" w:rsidP="001E0730">
            <w:pPr>
              <w:jc w:val="center"/>
            </w:pPr>
          </w:p>
          <w:p w:rsidR="00B90361" w:rsidRDefault="001E0730" w:rsidP="001E0730">
            <w:pPr>
              <w:jc w:val="center"/>
            </w:pPr>
            <w:r w:rsidRPr="00B90361">
              <w:t>0,0</w:t>
            </w:r>
          </w:p>
        </w:tc>
        <w:tc>
          <w:tcPr>
            <w:tcW w:w="1417" w:type="dxa"/>
          </w:tcPr>
          <w:p w:rsidR="001E0730" w:rsidRDefault="001E0730" w:rsidP="001E0730">
            <w:pPr>
              <w:jc w:val="center"/>
            </w:pPr>
          </w:p>
          <w:p w:rsidR="00B90361" w:rsidRDefault="001E0730" w:rsidP="001E0730">
            <w:pPr>
              <w:jc w:val="center"/>
            </w:pPr>
            <w:r w:rsidRPr="00B90361">
              <w:t>0,0</w:t>
            </w:r>
          </w:p>
        </w:tc>
        <w:tc>
          <w:tcPr>
            <w:tcW w:w="1276" w:type="dxa"/>
          </w:tcPr>
          <w:p w:rsidR="001E0730" w:rsidRDefault="001E0730" w:rsidP="001E0730">
            <w:pPr>
              <w:jc w:val="center"/>
            </w:pPr>
          </w:p>
          <w:p w:rsidR="00B90361" w:rsidRDefault="001E0730" w:rsidP="001E0730">
            <w:pPr>
              <w:jc w:val="center"/>
            </w:pPr>
            <w:r w:rsidRPr="00B90361">
              <w:t>0,0</w:t>
            </w:r>
          </w:p>
        </w:tc>
      </w:tr>
    </w:tbl>
    <w:p w:rsidR="00B90361" w:rsidRPr="00B90361" w:rsidRDefault="00B90361" w:rsidP="00B90361">
      <w:pPr>
        <w:ind w:left="-284"/>
      </w:pPr>
      <w:r w:rsidRPr="00B90361">
        <w:t xml:space="preserve"> </w:t>
      </w:r>
    </w:p>
    <w:p w:rsidR="00914912" w:rsidRDefault="00914912" w:rsidP="00914912">
      <w:bookmarkStart w:id="0" w:name="_GoBack"/>
      <w:bookmarkEnd w:id="0"/>
    </w:p>
    <w:sectPr w:rsidR="00914912">
      <w:footerReference w:type="default" r:id="rId6"/>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2F" w:rsidRDefault="00E7632F" w:rsidP="00105AD1">
      <w:r>
        <w:separator/>
      </w:r>
    </w:p>
  </w:endnote>
  <w:endnote w:type="continuationSeparator" w:id="0">
    <w:p w:rsidR="00E7632F" w:rsidRDefault="00E7632F" w:rsidP="0010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AD1" w:rsidRDefault="00105AD1">
    <w:pPr>
      <w:pStyle w:val="af"/>
      <w:jc w:val="right"/>
    </w:pPr>
    <w:r>
      <w:fldChar w:fldCharType="begin"/>
    </w:r>
    <w:r>
      <w:instrText xml:space="preserve"> PAGE   \* MERGEFORMAT </w:instrText>
    </w:r>
    <w:r>
      <w:fldChar w:fldCharType="separate"/>
    </w:r>
    <w:r w:rsidR="00915063">
      <w:rPr>
        <w:noProof/>
      </w:rPr>
      <w:t>1</w:t>
    </w:r>
    <w:r>
      <w:fldChar w:fldCharType="end"/>
    </w:r>
  </w:p>
  <w:p w:rsidR="00105AD1" w:rsidRDefault="00105AD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2F" w:rsidRDefault="00E7632F" w:rsidP="00105AD1">
      <w:r>
        <w:separator/>
      </w:r>
    </w:p>
  </w:footnote>
  <w:footnote w:type="continuationSeparator" w:id="0">
    <w:p w:rsidR="00E7632F" w:rsidRDefault="00E7632F" w:rsidP="0010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846"/>
    <w:rsid w:val="000412F5"/>
    <w:rsid w:val="0009552C"/>
    <w:rsid w:val="000E5D44"/>
    <w:rsid w:val="000E603B"/>
    <w:rsid w:val="00105AD1"/>
    <w:rsid w:val="001318DE"/>
    <w:rsid w:val="00132B39"/>
    <w:rsid w:val="00142D2D"/>
    <w:rsid w:val="001954CB"/>
    <w:rsid w:val="001C6153"/>
    <w:rsid w:val="001C7BBC"/>
    <w:rsid w:val="001E0730"/>
    <w:rsid w:val="001F1C4B"/>
    <w:rsid w:val="002427FF"/>
    <w:rsid w:val="00270E23"/>
    <w:rsid w:val="002A1284"/>
    <w:rsid w:val="003772F9"/>
    <w:rsid w:val="00396CBE"/>
    <w:rsid w:val="003E1CAD"/>
    <w:rsid w:val="00405AAE"/>
    <w:rsid w:val="00422FE3"/>
    <w:rsid w:val="00444D36"/>
    <w:rsid w:val="00483FCC"/>
    <w:rsid w:val="00491450"/>
    <w:rsid w:val="004B6F0B"/>
    <w:rsid w:val="00590FD1"/>
    <w:rsid w:val="005F04BE"/>
    <w:rsid w:val="0069226B"/>
    <w:rsid w:val="00702846"/>
    <w:rsid w:val="00752266"/>
    <w:rsid w:val="00787616"/>
    <w:rsid w:val="007F0107"/>
    <w:rsid w:val="008862DA"/>
    <w:rsid w:val="008E6082"/>
    <w:rsid w:val="008E609E"/>
    <w:rsid w:val="00914912"/>
    <w:rsid w:val="00915063"/>
    <w:rsid w:val="00975DD3"/>
    <w:rsid w:val="009F5617"/>
    <w:rsid w:val="00AA3F94"/>
    <w:rsid w:val="00AE1519"/>
    <w:rsid w:val="00B1569A"/>
    <w:rsid w:val="00B750F9"/>
    <w:rsid w:val="00B90361"/>
    <w:rsid w:val="00B96D19"/>
    <w:rsid w:val="00C63E53"/>
    <w:rsid w:val="00C71594"/>
    <w:rsid w:val="00C72F03"/>
    <w:rsid w:val="00C730BC"/>
    <w:rsid w:val="00CC5A7C"/>
    <w:rsid w:val="00CD4CE7"/>
    <w:rsid w:val="00CF6A57"/>
    <w:rsid w:val="00D13444"/>
    <w:rsid w:val="00D82A98"/>
    <w:rsid w:val="00E7632F"/>
    <w:rsid w:val="00F0712B"/>
    <w:rsid w:val="00FA20C1"/>
    <w:rsid w:val="00FA39B6"/>
    <w:rsid w:val="00FB5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6A02F-26F6-4EC3-B6DF-D86540E9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B750F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Strong"/>
    <w:basedOn w:val="11"/>
    <w:qFormat/>
    <w:rPr>
      <w:b/>
      <w:bCs/>
    </w:rPr>
  </w:style>
  <w:style w:type="character" w:customStyle="1" w:styleId="conr1">
    <w:name w:val="conr1"/>
    <w:basedOn w:val="11"/>
  </w:style>
  <w:style w:type="character" w:styleId="a4">
    <w:name w:val="Emphasis"/>
    <w:basedOn w:val="11"/>
    <w:qFormat/>
    <w:rPr>
      <w:i/>
      <w:iCs/>
    </w:rPr>
  </w:style>
  <w:style w:type="character" w:customStyle="1" w:styleId="a5">
    <w:name w:val="Символ нумерации"/>
  </w:style>
  <w:style w:type="character" w:styleId="a6">
    <w:name w:val="Hyperlink"/>
    <w:rPr>
      <w:color w:val="000080"/>
      <w:u w:val="single"/>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alloon Text"/>
    <w:basedOn w:val="a"/>
    <w:semiHidden/>
    <w:rsid w:val="00270E23"/>
    <w:rPr>
      <w:rFonts w:ascii="Tahoma" w:hAnsi="Tahoma" w:cs="Tahoma"/>
      <w:sz w:val="16"/>
      <w:szCs w:val="16"/>
    </w:rPr>
  </w:style>
  <w:style w:type="character" w:customStyle="1" w:styleId="10">
    <w:name w:val="Заголовок 1 Знак"/>
    <w:basedOn w:val="a0"/>
    <w:link w:val="1"/>
    <w:rsid w:val="00B750F9"/>
    <w:rPr>
      <w:rFonts w:ascii="Arial" w:hAnsi="Arial" w:cs="Arial"/>
      <w:b/>
      <w:bCs/>
      <w:kern w:val="32"/>
      <w:sz w:val="32"/>
      <w:szCs w:val="32"/>
      <w:lang w:val="ru-RU" w:eastAsia="ar-SA" w:bidi="ar-SA"/>
    </w:rPr>
  </w:style>
  <w:style w:type="paragraph" w:styleId="ad">
    <w:name w:val="header"/>
    <w:basedOn w:val="a"/>
    <w:link w:val="ae"/>
    <w:rsid w:val="00105AD1"/>
    <w:pPr>
      <w:tabs>
        <w:tab w:val="center" w:pos="4677"/>
        <w:tab w:val="right" w:pos="9355"/>
      </w:tabs>
    </w:pPr>
  </w:style>
  <w:style w:type="character" w:customStyle="1" w:styleId="ae">
    <w:name w:val="Верхний колонтитул Знак"/>
    <w:basedOn w:val="a0"/>
    <w:link w:val="ad"/>
    <w:rsid w:val="00105AD1"/>
    <w:rPr>
      <w:sz w:val="24"/>
      <w:szCs w:val="24"/>
      <w:lang w:eastAsia="ar-SA"/>
    </w:rPr>
  </w:style>
  <w:style w:type="paragraph" w:styleId="af">
    <w:name w:val="footer"/>
    <w:basedOn w:val="a"/>
    <w:link w:val="af0"/>
    <w:uiPriority w:val="99"/>
    <w:rsid w:val="00105AD1"/>
    <w:pPr>
      <w:tabs>
        <w:tab w:val="center" w:pos="4677"/>
        <w:tab w:val="right" w:pos="9355"/>
      </w:tabs>
    </w:pPr>
  </w:style>
  <w:style w:type="character" w:customStyle="1" w:styleId="af0">
    <w:name w:val="Нижний колонтитул Знак"/>
    <w:basedOn w:val="a0"/>
    <w:link w:val="af"/>
    <w:uiPriority w:val="99"/>
    <w:rsid w:val="00105AD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Words>
  <Characters>11255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Вчера, тихим весенним вечером, Соби неожиданно осознал, что его дом превратился в закрытое заведение для умалишенных</vt:lpstr>
    </vt:vector>
  </TitlesOfParts>
  <Company>Microsoft</Company>
  <LinksUpToDate>false</LinksUpToDate>
  <CharactersWithSpaces>13203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Вчера, тихим весенним вечером, Соби неожиданно осознал, что его дом превратился в закрытое заведение для умалишенных</dc:title>
  <dc:subject/>
  <dc:creator>1</dc:creator>
  <cp:keywords/>
  <cp:lastModifiedBy>admin</cp:lastModifiedBy>
  <cp:revision>2</cp:revision>
  <cp:lastPrinted>2009-11-02T18:08:00Z</cp:lastPrinted>
  <dcterms:created xsi:type="dcterms:W3CDTF">2014-04-11T17:58:00Z</dcterms:created>
  <dcterms:modified xsi:type="dcterms:W3CDTF">2014-04-11T17:58:00Z</dcterms:modified>
</cp:coreProperties>
</file>