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D5" w:rsidRDefault="004C20D5">
      <w:pPr>
        <w:pStyle w:val="1"/>
        <w:rPr>
          <w:rStyle w:val="FontStyle11"/>
          <w:rFonts w:ascii="Arial" w:hAnsi="Arial" w:cs="Arial"/>
          <w:sz w:val="28"/>
          <w:szCs w:val="28"/>
        </w:rPr>
      </w:pPr>
    </w:p>
    <w:p w:rsidR="004C20D5" w:rsidRDefault="004C20D5"/>
    <w:p w:rsidR="004C20D5" w:rsidRDefault="004C20D5">
      <w:pPr>
        <w:widowControl/>
        <w:autoSpaceDE/>
        <w:adjustRightInd/>
        <w:spacing w:after="200" w:line="276" w:lineRule="auto"/>
        <w:jc w:val="left"/>
        <w:rPr>
          <w:rStyle w:val="FontStyle11"/>
          <w:rFonts w:ascii="Arial" w:hAnsi="Arial" w:cs="Arial"/>
          <w:b/>
          <w:bCs/>
          <w:kern w:val="32"/>
          <w:sz w:val="28"/>
          <w:szCs w:val="28"/>
        </w:rPr>
      </w:pPr>
      <w:r>
        <w:rPr>
          <w:rStyle w:val="FontStyle11"/>
          <w:rFonts w:ascii="Arial" w:hAnsi="Arial" w:cs="Arial"/>
          <w:sz w:val="28"/>
          <w:szCs w:val="28"/>
        </w:rPr>
        <w:br w:type="page"/>
      </w:r>
    </w:p>
    <w:p w:rsidR="004C20D5" w:rsidRDefault="004C20D5">
      <w:pPr>
        <w:pStyle w:val="1"/>
        <w:rPr>
          <w:rStyle w:val="FontStyle11"/>
          <w:rFonts w:ascii="Arial" w:hAnsi="Arial" w:cs="Arial"/>
          <w:sz w:val="28"/>
          <w:szCs w:val="28"/>
        </w:rPr>
      </w:pPr>
    </w:p>
    <w:p w:rsidR="004C20D5" w:rsidRDefault="004C20D5">
      <w:pPr>
        <w:pStyle w:val="14"/>
        <w:jc w:val="center"/>
        <w:rPr>
          <w:color w:val="000000"/>
        </w:rPr>
      </w:pPr>
      <w:r>
        <w:rPr>
          <w:rFonts w:ascii="Arial" w:hAnsi="Arial" w:cs="Arial"/>
          <w:color w:val="000000"/>
        </w:rPr>
        <w:t>Оглавление</w:t>
      </w:r>
    </w:p>
    <w:p w:rsidR="004C20D5" w:rsidRDefault="004C20D5">
      <w:pPr>
        <w:pStyle w:val="11"/>
        <w:tabs>
          <w:tab w:val="right" w:leader="dot" w:pos="9346"/>
        </w:tabs>
        <w:rPr>
          <w:noProof/>
        </w:rPr>
      </w:pPr>
      <w:r>
        <w:fldChar w:fldCharType="begin"/>
      </w:r>
      <w:r>
        <w:instrText xml:space="preserve"> TOC \o "1-3" \h \z \u </w:instrText>
      </w:r>
      <w:r>
        <w:fldChar w:fldCharType="separate"/>
      </w:r>
      <w:hyperlink w:anchor="_Toc250362894" w:history="1">
        <w:r>
          <w:rPr>
            <w:rStyle w:val="a3"/>
            <w:rFonts w:cs="Arial"/>
            <w:noProof/>
          </w:rPr>
          <w:t>Контрольная работа по дисциплине «Бюджетная система РФ»</w:t>
        </w:r>
        <w:r>
          <w:rPr>
            <w:rStyle w:val="a3"/>
            <w:noProof/>
            <w:webHidden/>
            <w:color w:val="auto"/>
            <w:u w:val="none"/>
          </w:rPr>
          <w:tab/>
        </w:r>
        <w:r>
          <w:rPr>
            <w:rStyle w:val="a3"/>
            <w:noProof/>
            <w:webHidden/>
            <w:color w:val="auto"/>
            <w:u w:val="none"/>
          </w:rPr>
          <w:fldChar w:fldCharType="begin"/>
        </w:r>
        <w:r>
          <w:rPr>
            <w:rStyle w:val="a3"/>
            <w:noProof/>
            <w:webHidden/>
            <w:color w:val="auto"/>
            <w:u w:val="none"/>
          </w:rPr>
          <w:instrText xml:space="preserve"> PAGEREF _Toc250362894 \h </w:instrText>
        </w:r>
        <w:r>
          <w:rPr>
            <w:rStyle w:val="a3"/>
            <w:noProof/>
            <w:webHidden/>
            <w:color w:val="auto"/>
            <w:u w:val="none"/>
          </w:rPr>
        </w:r>
        <w:r>
          <w:rPr>
            <w:rStyle w:val="a3"/>
            <w:noProof/>
            <w:webHidden/>
            <w:color w:val="auto"/>
            <w:u w:val="none"/>
          </w:rPr>
          <w:fldChar w:fldCharType="separate"/>
        </w:r>
        <w:r>
          <w:rPr>
            <w:rStyle w:val="a3"/>
            <w:noProof/>
            <w:webHidden/>
            <w:color w:val="auto"/>
            <w:u w:val="none"/>
          </w:rPr>
          <w:t>3</w:t>
        </w:r>
        <w:r>
          <w:rPr>
            <w:rStyle w:val="a3"/>
            <w:noProof/>
            <w:webHidden/>
            <w:color w:val="auto"/>
            <w:u w:val="none"/>
          </w:rPr>
          <w:fldChar w:fldCharType="end"/>
        </w:r>
      </w:hyperlink>
    </w:p>
    <w:p w:rsidR="004C20D5" w:rsidRDefault="00F16CE7">
      <w:pPr>
        <w:pStyle w:val="11"/>
        <w:tabs>
          <w:tab w:val="right" w:leader="dot" w:pos="9346"/>
        </w:tabs>
        <w:rPr>
          <w:noProof/>
        </w:rPr>
      </w:pPr>
      <w:hyperlink w:anchor="_Toc250362895" w:history="1">
        <w:r w:rsidR="004C20D5">
          <w:rPr>
            <w:rStyle w:val="a3"/>
            <w:noProof/>
          </w:rPr>
          <w:t>Вариант 9. Социально - культурные расходы бюджетной системы РФ</w:t>
        </w:r>
        <w:r w:rsidR="004C20D5">
          <w:rPr>
            <w:rStyle w:val="a3"/>
            <w:noProof/>
            <w:webHidden/>
            <w:color w:val="auto"/>
            <w:u w:val="none"/>
          </w:rPr>
          <w:tab/>
        </w:r>
        <w:r w:rsidR="004C20D5">
          <w:rPr>
            <w:rStyle w:val="a3"/>
            <w:noProof/>
            <w:webHidden/>
            <w:color w:val="auto"/>
            <w:u w:val="none"/>
          </w:rPr>
          <w:fldChar w:fldCharType="begin"/>
        </w:r>
        <w:r w:rsidR="004C20D5">
          <w:rPr>
            <w:rStyle w:val="a3"/>
            <w:noProof/>
            <w:webHidden/>
            <w:color w:val="auto"/>
            <w:u w:val="none"/>
          </w:rPr>
          <w:instrText xml:space="preserve"> PAGEREF _Toc250362895 \h </w:instrText>
        </w:r>
        <w:r w:rsidR="004C20D5">
          <w:rPr>
            <w:rStyle w:val="a3"/>
            <w:noProof/>
            <w:webHidden/>
            <w:color w:val="auto"/>
            <w:u w:val="none"/>
          </w:rPr>
        </w:r>
        <w:r w:rsidR="004C20D5">
          <w:rPr>
            <w:rStyle w:val="a3"/>
            <w:noProof/>
            <w:webHidden/>
            <w:color w:val="auto"/>
            <w:u w:val="none"/>
          </w:rPr>
          <w:fldChar w:fldCharType="separate"/>
        </w:r>
        <w:r w:rsidR="004C20D5">
          <w:rPr>
            <w:rStyle w:val="a3"/>
            <w:noProof/>
            <w:webHidden/>
            <w:color w:val="auto"/>
            <w:u w:val="none"/>
          </w:rPr>
          <w:t>3</w:t>
        </w:r>
        <w:r w:rsidR="004C20D5">
          <w:rPr>
            <w:rStyle w:val="a3"/>
            <w:noProof/>
            <w:webHidden/>
            <w:color w:val="auto"/>
            <w:u w:val="none"/>
          </w:rPr>
          <w:fldChar w:fldCharType="end"/>
        </w:r>
      </w:hyperlink>
    </w:p>
    <w:p w:rsidR="004C20D5" w:rsidRDefault="00F16CE7">
      <w:pPr>
        <w:pStyle w:val="21"/>
        <w:tabs>
          <w:tab w:val="left" w:pos="660"/>
          <w:tab w:val="right" w:leader="dot" w:pos="9346"/>
        </w:tabs>
        <w:rPr>
          <w:noProof/>
        </w:rPr>
      </w:pPr>
      <w:hyperlink w:anchor="_Toc250362896" w:history="1">
        <w:r w:rsidR="004C20D5">
          <w:rPr>
            <w:rStyle w:val="a3"/>
            <w:rFonts w:cs="Arial"/>
            <w:noProof/>
          </w:rPr>
          <w:t>1.</w:t>
        </w:r>
        <w:r w:rsidR="004C20D5">
          <w:rPr>
            <w:rStyle w:val="a3"/>
            <w:noProof/>
            <w:color w:val="auto"/>
            <w:u w:val="none"/>
          </w:rPr>
          <w:tab/>
        </w:r>
        <w:r w:rsidR="004C20D5">
          <w:rPr>
            <w:rStyle w:val="a3"/>
            <w:rFonts w:cs="Arial"/>
            <w:noProof/>
          </w:rPr>
          <w:t>Роль бюджета в финансовом обеспечении социально - культурной сферы.</w:t>
        </w:r>
        <w:r w:rsidR="004C20D5">
          <w:rPr>
            <w:rStyle w:val="a3"/>
            <w:noProof/>
            <w:webHidden/>
            <w:color w:val="auto"/>
            <w:u w:val="none"/>
          </w:rPr>
          <w:tab/>
        </w:r>
        <w:r w:rsidR="004C20D5">
          <w:rPr>
            <w:rStyle w:val="a3"/>
            <w:noProof/>
            <w:webHidden/>
            <w:color w:val="auto"/>
            <w:u w:val="none"/>
          </w:rPr>
          <w:fldChar w:fldCharType="begin"/>
        </w:r>
        <w:r w:rsidR="004C20D5">
          <w:rPr>
            <w:rStyle w:val="a3"/>
            <w:noProof/>
            <w:webHidden/>
            <w:color w:val="auto"/>
            <w:u w:val="none"/>
          </w:rPr>
          <w:instrText xml:space="preserve"> PAGEREF _Toc250362896 \h </w:instrText>
        </w:r>
        <w:r w:rsidR="004C20D5">
          <w:rPr>
            <w:rStyle w:val="a3"/>
            <w:noProof/>
            <w:webHidden/>
            <w:color w:val="auto"/>
            <w:u w:val="none"/>
          </w:rPr>
        </w:r>
        <w:r w:rsidR="004C20D5">
          <w:rPr>
            <w:rStyle w:val="a3"/>
            <w:noProof/>
            <w:webHidden/>
            <w:color w:val="auto"/>
            <w:u w:val="none"/>
          </w:rPr>
          <w:fldChar w:fldCharType="separate"/>
        </w:r>
        <w:r w:rsidR="004C20D5">
          <w:rPr>
            <w:rStyle w:val="a3"/>
            <w:noProof/>
            <w:webHidden/>
            <w:color w:val="auto"/>
            <w:u w:val="none"/>
          </w:rPr>
          <w:t>3</w:t>
        </w:r>
        <w:r w:rsidR="004C20D5">
          <w:rPr>
            <w:rStyle w:val="a3"/>
            <w:noProof/>
            <w:webHidden/>
            <w:color w:val="auto"/>
            <w:u w:val="none"/>
          </w:rPr>
          <w:fldChar w:fldCharType="end"/>
        </w:r>
      </w:hyperlink>
    </w:p>
    <w:p w:rsidR="004C20D5" w:rsidRDefault="00F16CE7">
      <w:pPr>
        <w:pStyle w:val="21"/>
        <w:tabs>
          <w:tab w:val="left" w:pos="660"/>
          <w:tab w:val="right" w:leader="dot" w:pos="9346"/>
        </w:tabs>
        <w:rPr>
          <w:noProof/>
        </w:rPr>
      </w:pPr>
      <w:hyperlink w:anchor="_Toc250362897" w:history="1">
        <w:r w:rsidR="004C20D5">
          <w:rPr>
            <w:rStyle w:val="a3"/>
            <w:rFonts w:cs="Arial"/>
            <w:noProof/>
          </w:rPr>
          <w:t>2.</w:t>
        </w:r>
        <w:r w:rsidR="004C20D5">
          <w:rPr>
            <w:rStyle w:val="a3"/>
            <w:noProof/>
            <w:color w:val="auto"/>
            <w:u w:val="none"/>
          </w:rPr>
          <w:tab/>
        </w:r>
        <w:r w:rsidR="004C20D5">
          <w:rPr>
            <w:rStyle w:val="a3"/>
            <w:rFonts w:cs="Arial"/>
            <w:noProof/>
          </w:rPr>
          <w:t>Расходы бюджетной системы РФ на образование, культуру и искусство.</w:t>
        </w:r>
        <w:r w:rsidR="004C20D5">
          <w:rPr>
            <w:rStyle w:val="a3"/>
            <w:noProof/>
            <w:webHidden/>
            <w:color w:val="auto"/>
            <w:u w:val="none"/>
          </w:rPr>
          <w:tab/>
        </w:r>
        <w:r w:rsidR="004C20D5">
          <w:rPr>
            <w:rStyle w:val="a3"/>
            <w:noProof/>
            <w:webHidden/>
            <w:color w:val="auto"/>
            <w:u w:val="none"/>
          </w:rPr>
          <w:fldChar w:fldCharType="begin"/>
        </w:r>
        <w:r w:rsidR="004C20D5">
          <w:rPr>
            <w:rStyle w:val="a3"/>
            <w:noProof/>
            <w:webHidden/>
            <w:color w:val="auto"/>
            <w:u w:val="none"/>
          </w:rPr>
          <w:instrText xml:space="preserve"> PAGEREF _Toc250362897 \h </w:instrText>
        </w:r>
        <w:r w:rsidR="004C20D5">
          <w:rPr>
            <w:rStyle w:val="a3"/>
            <w:noProof/>
            <w:webHidden/>
            <w:color w:val="auto"/>
            <w:u w:val="none"/>
          </w:rPr>
        </w:r>
        <w:r w:rsidR="004C20D5">
          <w:rPr>
            <w:rStyle w:val="a3"/>
            <w:noProof/>
            <w:webHidden/>
            <w:color w:val="auto"/>
            <w:u w:val="none"/>
          </w:rPr>
          <w:fldChar w:fldCharType="separate"/>
        </w:r>
        <w:r w:rsidR="004C20D5">
          <w:rPr>
            <w:rStyle w:val="a3"/>
            <w:noProof/>
            <w:webHidden/>
            <w:color w:val="auto"/>
            <w:u w:val="none"/>
          </w:rPr>
          <w:t>3</w:t>
        </w:r>
        <w:r w:rsidR="004C20D5">
          <w:rPr>
            <w:rStyle w:val="a3"/>
            <w:noProof/>
            <w:webHidden/>
            <w:color w:val="auto"/>
            <w:u w:val="none"/>
          </w:rPr>
          <w:fldChar w:fldCharType="end"/>
        </w:r>
      </w:hyperlink>
    </w:p>
    <w:p w:rsidR="004C20D5" w:rsidRDefault="00F16CE7">
      <w:pPr>
        <w:pStyle w:val="21"/>
        <w:tabs>
          <w:tab w:val="left" w:pos="660"/>
          <w:tab w:val="right" w:leader="dot" w:pos="9346"/>
        </w:tabs>
        <w:rPr>
          <w:noProof/>
        </w:rPr>
      </w:pPr>
      <w:hyperlink w:anchor="_Toc250362898" w:history="1">
        <w:r w:rsidR="004C20D5">
          <w:rPr>
            <w:rStyle w:val="a3"/>
            <w:rFonts w:cs="Arial"/>
            <w:noProof/>
          </w:rPr>
          <w:t>3.</w:t>
        </w:r>
        <w:r w:rsidR="004C20D5">
          <w:rPr>
            <w:rStyle w:val="a3"/>
            <w:noProof/>
            <w:color w:val="auto"/>
            <w:u w:val="none"/>
          </w:rPr>
          <w:tab/>
        </w:r>
        <w:r w:rsidR="004C20D5">
          <w:rPr>
            <w:rStyle w:val="a3"/>
            <w:rFonts w:cs="Arial"/>
            <w:noProof/>
          </w:rPr>
          <w:t>Расходы бюджетов на здравоохранение, физическую культуру и спорт.</w:t>
        </w:r>
        <w:r w:rsidR="004C20D5">
          <w:rPr>
            <w:rStyle w:val="a3"/>
            <w:noProof/>
            <w:webHidden/>
            <w:color w:val="auto"/>
            <w:u w:val="none"/>
          </w:rPr>
          <w:tab/>
        </w:r>
        <w:r w:rsidR="004C20D5">
          <w:rPr>
            <w:rStyle w:val="a3"/>
            <w:noProof/>
            <w:webHidden/>
            <w:color w:val="auto"/>
            <w:u w:val="none"/>
          </w:rPr>
          <w:fldChar w:fldCharType="begin"/>
        </w:r>
        <w:r w:rsidR="004C20D5">
          <w:rPr>
            <w:rStyle w:val="a3"/>
            <w:noProof/>
            <w:webHidden/>
            <w:color w:val="auto"/>
            <w:u w:val="none"/>
          </w:rPr>
          <w:instrText xml:space="preserve"> PAGEREF _Toc250362898 \h </w:instrText>
        </w:r>
        <w:r w:rsidR="004C20D5">
          <w:rPr>
            <w:rStyle w:val="a3"/>
            <w:noProof/>
            <w:webHidden/>
            <w:color w:val="auto"/>
            <w:u w:val="none"/>
          </w:rPr>
        </w:r>
        <w:r w:rsidR="004C20D5">
          <w:rPr>
            <w:rStyle w:val="a3"/>
            <w:noProof/>
            <w:webHidden/>
            <w:color w:val="auto"/>
            <w:u w:val="none"/>
          </w:rPr>
          <w:fldChar w:fldCharType="separate"/>
        </w:r>
        <w:r w:rsidR="004C20D5">
          <w:rPr>
            <w:rStyle w:val="a3"/>
            <w:noProof/>
            <w:webHidden/>
            <w:color w:val="auto"/>
            <w:u w:val="none"/>
          </w:rPr>
          <w:t>3</w:t>
        </w:r>
        <w:r w:rsidR="004C20D5">
          <w:rPr>
            <w:rStyle w:val="a3"/>
            <w:noProof/>
            <w:webHidden/>
            <w:color w:val="auto"/>
            <w:u w:val="none"/>
          </w:rPr>
          <w:fldChar w:fldCharType="end"/>
        </w:r>
      </w:hyperlink>
    </w:p>
    <w:p w:rsidR="004C20D5" w:rsidRDefault="00F16CE7">
      <w:pPr>
        <w:pStyle w:val="21"/>
        <w:tabs>
          <w:tab w:val="left" w:pos="660"/>
          <w:tab w:val="right" w:leader="dot" w:pos="9346"/>
        </w:tabs>
        <w:rPr>
          <w:noProof/>
        </w:rPr>
      </w:pPr>
      <w:hyperlink w:anchor="_Toc250362899" w:history="1">
        <w:r w:rsidR="004C20D5">
          <w:rPr>
            <w:rStyle w:val="a3"/>
            <w:rFonts w:cs="Arial"/>
            <w:noProof/>
          </w:rPr>
          <w:t>4.</w:t>
        </w:r>
        <w:r w:rsidR="004C20D5">
          <w:rPr>
            <w:rStyle w:val="a3"/>
            <w:noProof/>
            <w:color w:val="auto"/>
            <w:u w:val="none"/>
          </w:rPr>
          <w:tab/>
        </w:r>
        <w:r w:rsidR="004C20D5">
          <w:rPr>
            <w:rStyle w:val="a3"/>
            <w:rFonts w:cs="Arial"/>
            <w:noProof/>
          </w:rPr>
          <w:t>Расходы бюджетной системы на социальную поддержку РФ.</w:t>
        </w:r>
        <w:r w:rsidR="004C20D5">
          <w:rPr>
            <w:rStyle w:val="a3"/>
            <w:noProof/>
            <w:webHidden/>
            <w:color w:val="auto"/>
            <w:u w:val="none"/>
          </w:rPr>
          <w:tab/>
        </w:r>
        <w:r w:rsidR="004C20D5">
          <w:rPr>
            <w:rStyle w:val="a3"/>
            <w:noProof/>
            <w:webHidden/>
            <w:color w:val="auto"/>
            <w:u w:val="none"/>
          </w:rPr>
          <w:fldChar w:fldCharType="begin"/>
        </w:r>
        <w:r w:rsidR="004C20D5">
          <w:rPr>
            <w:rStyle w:val="a3"/>
            <w:noProof/>
            <w:webHidden/>
            <w:color w:val="auto"/>
            <w:u w:val="none"/>
          </w:rPr>
          <w:instrText xml:space="preserve"> PAGEREF _Toc250362899 \h </w:instrText>
        </w:r>
        <w:r w:rsidR="004C20D5">
          <w:rPr>
            <w:rStyle w:val="a3"/>
            <w:noProof/>
            <w:webHidden/>
            <w:color w:val="auto"/>
            <w:u w:val="none"/>
          </w:rPr>
        </w:r>
        <w:r w:rsidR="004C20D5">
          <w:rPr>
            <w:rStyle w:val="a3"/>
            <w:noProof/>
            <w:webHidden/>
            <w:color w:val="auto"/>
            <w:u w:val="none"/>
          </w:rPr>
          <w:fldChar w:fldCharType="separate"/>
        </w:r>
        <w:r w:rsidR="004C20D5">
          <w:rPr>
            <w:rStyle w:val="a3"/>
            <w:noProof/>
            <w:webHidden/>
            <w:color w:val="auto"/>
            <w:u w:val="none"/>
          </w:rPr>
          <w:t>3</w:t>
        </w:r>
        <w:r w:rsidR="004C20D5">
          <w:rPr>
            <w:rStyle w:val="a3"/>
            <w:noProof/>
            <w:webHidden/>
            <w:color w:val="auto"/>
            <w:u w:val="none"/>
          </w:rPr>
          <w:fldChar w:fldCharType="end"/>
        </w:r>
      </w:hyperlink>
    </w:p>
    <w:p w:rsidR="004C20D5" w:rsidRDefault="00F16CE7">
      <w:pPr>
        <w:pStyle w:val="21"/>
        <w:tabs>
          <w:tab w:val="left" w:pos="660"/>
          <w:tab w:val="right" w:leader="dot" w:pos="9346"/>
        </w:tabs>
        <w:rPr>
          <w:noProof/>
        </w:rPr>
      </w:pPr>
      <w:hyperlink w:anchor="_Toc250362900" w:history="1">
        <w:r w:rsidR="004C20D5">
          <w:rPr>
            <w:rStyle w:val="a3"/>
            <w:rFonts w:cs="Arial"/>
            <w:noProof/>
          </w:rPr>
          <w:t>5.</w:t>
        </w:r>
        <w:r w:rsidR="004C20D5">
          <w:rPr>
            <w:rStyle w:val="a3"/>
            <w:noProof/>
            <w:color w:val="auto"/>
            <w:u w:val="none"/>
          </w:rPr>
          <w:tab/>
        </w:r>
        <w:r w:rsidR="004C20D5">
          <w:rPr>
            <w:rStyle w:val="a3"/>
            <w:rFonts w:cs="Arial"/>
            <w:noProof/>
          </w:rPr>
          <w:t>Проведите анализ динамики и структуры расходов бюджетной системы РФ на социально-культурную программу.</w:t>
        </w:r>
        <w:r w:rsidR="004C20D5">
          <w:rPr>
            <w:rStyle w:val="a3"/>
            <w:noProof/>
            <w:webHidden/>
            <w:color w:val="auto"/>
            <w:u w:val="none"/>
          </w:rPr>
          <w:tab/>
        </w:r>
        <w:r w:rsidR="004C20D5">
          <w:rPr>
            <w:rStyle w:val="a3"/>
            <w:noProof/>
            <w:webHidden/>
            <w:color w:val="auto"/>
            <w:u w:val="none"/>
          </w:rPr>
          <w:fldChar w:fldCharType="begin"/>
        </w:r>
        <w:r w:rsidR="004C20D5">
          <w:rPr>
            <w:rStyle w:val="a3"/>
            <w:noProof/>
            <w:webHidden/>
            <w:color w:val="auto"/>
            <w:u w:val="none"/>
          </w:rPr>
          <w:instrText xml:space="preserve"> PAGEREF _Toc250362900 \h </w:instrText>
        </w:r>
        <w:r w:rsidR="004C20D5">
          <w:rPr>
            <w:rStyle w:val="a3"/>
            <w:noProof/>
            <w:webHidden/>
            <w:color w:val="auto"/>
            <w:u w:val="none"/>
          </w:rPr>
        </w:r>
        <w:r w:rsidR="004C20D5">
          <w:rPr>
            <w:rStyle w:val="a3"/>
            <w:noProof/>
            <w:webHidden/>
            <w:color w:val="auto"/>
            <w:u w:val="none"/>
          </w:rPr>
          <w:fldChar w:fldCharType="separate"/>
        </w:r>
        <w:r w:rsidR="004C20D5">
          <w:rPr>
            <w:rStyle w:val="a3"/>
            <w:noProof/>
            <w:webHidden/>
            <w:color w:val="auto"/>
            <w:u w:val="none"/>
          </w:rPr>
          <w:t>3</w:t>
        </w:r>
        <w:r w:rsidR="004C20D5">
          <w:rPr>
            <w:rStyle w:val="a3"/>
            <w:noProof/>
            <w:webHidden/>
            <w:color w:val="auto"/>
            <w:u w:val="none"/>
          </w:rPr>
          <w:fldChar w:fldCharType="end"/>
        </w:r>
      </w:hyperlink>
    </w:p>
    <w:p w:rsidR="004C20D5" w:rsidRDefault="00F16CE7">
      <w:pPr>
        <w:pStyle w:val="11"/>
        <w:tabs>
          <w:tab w:val="right" w:leader="dot" w:pos="9346"/>
        </w:tabs>
        <w:rPr>
          <w:noProof/>
        </w:rPr>
      </w:pPr>
      <w:hyperlink w:anchor="_Toc250362901" w:history="1">
        <w:r w:rsidR="004C20D5">
          <w:rPr>
            <w:rStyle w:val="a3"/>
            <w:noProof/>
          </w:rPr>
          <w:t>Список литературы:</w:t>
        </w:r>
        <w:r w:rsidR="004C20D5">
          <w:rPr>
            <w:rStyle w:val="a3"/>
            <w:noProof/>
            <w:webHidden/>
            <w:color w:val="auto"/>
            <w:u w:val="none"/>
          </w:rPr>
          <w:tab/>
        </w:r>
        <w:r w:rsidR="004C20D5">
          <w:rPr>
            <w:rStyle w:val="a3"/>
            <w:noProof/>
            <w:webHidden/>
            <w:color w:val="auto"/>
            <w:u w:val="none"/>
          </w:rPr>
          <w:fldChar w:fldCharType="begin"/>
        </w:r>
        <w:r w:rsidR="004C20D5">
          <w:rPr>
            <w:rStyle w:val="a3"/>
            <w:noProof/>
            <w:webHidden/>
            <w:color w:val="auto"/>
            <w:u w:val="none"/>
          </w:rPr>
          <w:instrText xml:space="preserve"> PAGEREF _Toc250362901 \h </w:instrText>
        </w:r>
        <w:r w:rsidR="004C20D5">
          <w:rPr>
            <w:rStyle w:val="a3"/>
            <w:noProof/>
            <w:webHidden/>
            <w:color w:val="auto"/>
            <w:u w:val="none"/>
          </w:rPr>
        </w:r>
        <w:r w:rsidR="004C20D5">
          <w:rPr>
            <w:rStyle w:val="a3"/>
            <w:noProof/>
            <w:webHidden/>
            <w:color w:val="auto"/>
            <w:u w:val="none"/>
          </w:rPr>
          <w:fldChar w:fldCharType="separate"/>
        </w:r>
        <w:r w:rsidR="004C20D5">
          <w:rPr>
            <w:rStyle w:val="a3"/>
            <w:noProof/>
            <w:webHidden/>
            <w:color w:val="auto"/>
            <w:u w:val="none"/>
          </w:rPr>
          <w:t>3</w:t>
        </w:r>
        <w:r w:rsidR="004C20D5">
          <w:rPr>
            <w:rStyle w:val="a3"/>
            <w:noProof/>
            <w:webHidden/>
            <w:color w:val="auto"/>
            <w:u w:val="none"/>
          </w:rPr>
          <w:fldChar w:fldCharType="end"/>
        </w:r>
      </w:hyperlink>
    </w:p>
    <w:p w:rsidR="004C20D5" w:rsidRDefault="004C20D5">
      <w:r>
        <w:fldChar w:fldCharType="end"/>
      </w:r>
    </w:p>
    <w:p w:rsidR="004C20D5" w:rsidRDefault="004C20D5">
      <w:pPr>
        <w:widowControl/>
        <w:autoSpaceDE/>
        <w:adjustRightInd/>
        <w:spacing w:after="200" w:line="276" w:lineRule="auto"/>
        <w:jc w:val="left"/>
        <w:rPr>
          <w:rStyle w:val="FontStyle11"/>
          <w:rFonts w:ascii="Arial" w:hAnsi="Arial" w:cs="Arial"/>
          <w:b/>
          <w:bCs/>
          <w:kern w:val="32"/>
          <w:sz w:val="28"/>
          <w:szCs w:val="28"/>
        </w:rPr>
      </w:pPr>
      <w:r>
        <w:rPr>
          <w:rStyle w:val="FontStyle11"/>
          <w:rFonts w:ascii="Arial" w:hAnsi="Arial" w:cs="Arial"/>
          <w:b/>
          <w:bCs/>
          <w:kern w:val="32"/>
          <w:sz w:val="28"/>
          <w:szCs w:val="28"/>
        </w:rPr>
        <w:br w:type="page"/>
      </w:r>
    </w:p>
    <w:p w:rsidR="004C20D5" w:rsidRDefault="004C20D5">
      <w:pPr>
        <w:pStyle w:val="1"/>
        <w:rPr>
          <w:rStyle w:val="FontStyle11"/>
          <w:rFonts w:ascii="Arial" w:hAnsi="Arial" w:cs="Arial"/>
          <w:sz w:val="28"/>
          <w:szCs w:val="28"/>
        </w:rPr>
      </w:pPr>
      <w:bookmarkStart w:id="0" w:name="_Toc250362894"/>
      <w:r>
        <w:rPr>
          <w:rStyle w:val="FontStyle11"/>
          <w:rFonts w:ascii="Arial" w:hAnsi="Arial" w:cs="Arial"/>
          <w:sz w:val="28"/>
          <w:szCs w:val="28"/>
        </w:rPr>
        <w:t>Контрольная работа по дисциплине «Бюджетная система РФ»</w:t>
      </w:r>
      <w:bookmarkEnd w:id="0"/>
    </w:p>
    <w:p w:rsidR="004C20D5" w:rsidRDefault="004C20D5">
      <w:pPr>
        <w:pStyle w:val="1"/>
        <w:rPr>
          <w:rStyle w:val="FontStyle11"/>
          <w:rFonts w:ascii="Arial" w:hAnsi="Arial"/>
          <w:sz w:val="28"/>
          <w:szCs w:val="32"/>
        </w:rPr>
      </w:pPr>
      <w:bookmarkStart w:id="1" w:name="_Toc250362895"/>
      <w:r>
        <w:rPr>
          <w:rStyle w:val="FontStyle11"/>
          <w:rFonts w:ascii="Arial" w:hAnsi="Arial"/>
          <w:sz w:val="28"/>
          <w:szCs w:val="32"/>
        </w:rPr>
        <w:t>Вариант 9. Социально - культурные расходы бюджетной системы РФ</w:t>
      </w:r>
      <w:bookmarkEnd w:id="1"/>
    </w:p>
    <w:p w:rsidR="004C20D5" w:rsidRDefault="004C20D5">
      <w:pPr>
        <w:pStyle w:val="2"/>
        <w:keepNext w:val="0"/>
        <w:numPr>
          <w:ilvl w:val="0"/>
          <w:numId w:val="2"/>
        </w:numPr>
        <w:ind w:left="0" w:firstLine="0"/>
        <w:jc w:val="both"/>
        <w:rPr>
          <w:rStyle w:val="FontStyle11"/>
          <w:rFonts w:ascii="Arial" w:hAnsi="Arial" w:cs="Arial"/>
          <w:sz w:val="28"/>
          <w:szCs w:val="28"/>
        </w:rPr>
      </w:pPr>
      <w:bookmarkStart w:id="2" w:name="_Toc250362896"/>
      <w:r>
        <w:rPr>
          <w:rStyle w:val="FontStyle11"/>
          <w:rFonts w:ascii="Arial" w:hAnsi="Arial" w:cs="Arial"/>
          <w:sz w:val="28"/>
          <w:szCs w:val="28"/>
        </w:rPr>
        <w:t>Роль бюджета в финансовом обеспечении социально - культурной сферы.</w:t>
      </w:r>
      <w:bookmarkEnd w:id="2"/>
    </w:p>
    <w:p w:rsidR="004C20D5" w:rsidRDefault="004C20D5">
      <w:pPr>
        <w:ind w:firstLine="720"/>
      </w:pPr>
      <w:r>
        <w:t>Расходы бюджета, являясь важной составной частью государственных расходов в целом, выражают экономические отношения, возникающие в связи с использованием средств общегосударственного денежного фонда.  Формой проявления этих отношений выступают конкретные виды бюджетных расходов, причем их многообразие обусловлено действием целого ряда факторов: природой и функциями государства, уровнем социально-экономического развития страны, разветвленностью связей бюджета с национальной экономикой, административно-территориальным устройством государства и т.д.</w:t>
      </w:r>
    </w:p>
    <w:p w:rsidR="004C20D5" w:rsidRDefault="004C20D5">
      <w:pPr>
        <w:ind w:firstLine="720"/>
      </w:pPr>
      <w:r>
        <w:t>В расходы бюджета включаются затраты на финансирование народного хозяйства, оборону страны, расходы по государственному долгу, содержание органов управления и правоохранительных органов и др. Разумеется, расходы бюджета включают в себя и затраты на социально-культурные мероприятия (образование, здравоохранение, социальное обеспечение).</w:t>
      </w:r>
    </w:p>
    <w:p w:rsidR="004C20D5" w:rsidRDefault="004C20D5">
      <w:pPr>
        <w:ind w:firstLine="720"/>
      </w:pPr>
      <w:r>
        <w:t>В современном индустриальном и урбанизированном обществе огромную роль в жизнеобеспечении человека играет непроизводственная сфера — важнейший фактор развития производительных сил. Социальная инфраструктура, в которую входят учреждения народного образования, здравоохранения, культуры, искусства, социального обеспечения, занимает видное место в народнохозяйственном комплексе государства. В России в отраслях социальной инфраструктуры трудится примерно 25% работников, занятых в народном хозяйстве.  Материальные и духовные блага, предоставляемые предприятиями и учреждениями социальной инфраструктуры, удовлетворяя личные потребности людей, являются важнейшим фактором воспроизводства рабочей силы и интенсификации производства.</w:t>
      </w:r>
    </w:p>
    <w:p w:rsidR="004C20D5" w:rsidRDefault="004C20D5">
      <w:pPr>
        <w:ind w:firstLine="720"/>
      </w:pPr>
      <w:r>
        <w:t>Необходимость бюджетного финансирования социальной сферы обусловлена свойствами социальных услуг как общественного товара, их ролью в социально-экономическом развитии страны. Однако суммы бюджетных ассигнований не могут определяться по потребности. Процесс государственного регулирования — это и установление государственного заказа, подлежащего бюджетному обеспечению, социальных нормативов, выраженных как в натуральном, так и в денежном исчислении. Например, законодательством определено, что для системы образования государственный заказ должен включать такие параметры, как контингент обучаемых, государственный образовательный стандарт, норматив бюджетного финансирования.</w:t>
      </w:r>
    </w:p>
    <w:p w:rsidR="004C20D5" w:rsidRDefault="004C20D5">
      <w:pPr>
        <w:ind w:firstLine="720"/>
      </w:pPr>
      <w:r>
        <w:t>Согласно Конституции Российской Федерации, федеральный центр должен создать основу для реализации социальной политики на местах. Важнейшей обязанностью государства является обеспечение социальных прав, поскольку Россия заявила о себе как социальное государство. В основе социальных гарантий лежит принцип соблюдения единого социального стандарта на всей территории страны, единых правил дотирования регионов. Единообразие, например, распространяется на оплату труда работников социальной (бюджетной), сферы; гарантируется одинаковый объем и качество медицинского обслуживания, образования; фиксируется допустимый уровень безработицы. Однако трехуровневое построение социальной политики усложняет реализацию федеральной стратегической линии социальной защиты населения.</w:t>
      </w:r>
    </w:p>
    <w:p w:rsidR="004C20D5" w:rsidRDefault="004C20D5">
      <w:pPr>
        <w:ind w:firstLine="720"/>
      </w:pPr>
      <w:r>
        <w:t>Реализация конституционных прав граждан на социальное обеспечение по возрасту, инвалидности, в случае потери кормильца, рождения и воспитания детей, при безработице, а также на получение бесплатной медицинской помощи по болезни обеспечивается не только за счет бюджетных средств, но и за счет средств государственных и негосударственных внебюджетных фондов целевого назначения. Например, одним из основных видов социальной защиты населения является пенсионное обеспечение.</w:t>
      </w:r>
    </w:p>
    <w:p w:rsidR="004C20D5" w:rsidRDefault="004C20D5">
      <w:pPr>
        <w:ind w:firstLine="720"/>
      </w:pPr>
      <w:r>
        <w:t>Рассмотрим классификацию расходов бюджета на социальные цели. Для этого используем функциональную классификацию расходов бюджета. К расходам на социальные цели относятся пять разделов этой классификации:</w:t>
      </w:r>
    </w:p>
    <w:p w:rsidR="004C20D5" w:rsidRDefault="004C20D5">
      <w:pPr>
        <w:pStyle w:val="13"/>
        <w:numPr>
          <w:ilvl w:val="0"/>
          <w:numId w:val="4"/>
        </w:numPr>
      </w:pPr>
      <w:r>
        <w:t>Образование (код – 1400)</w:t>
      </w:r>
    </w:p>
    <w:p w:rsidR="004C20D5" w:rsidRDefault="004C20D5">
      <w:pPr>
        <w:widowControl/>
        <w:numPr>
          <w:ilvl w:val="0"/>
          <w:numId w:val="4"/>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Культура и искусство. Кинематография (код – 1500)</w:t>
      </w:r>
    </w:p>
    <w:p w:rsidR="004C20D5" w:rsidRDefault="004C20D5">
      <w:pPr>
        <w:widowControl/>
        <w:numPr>
          <w:ilvl w:val="0"/>
          <w:numId w:val="4"/>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СМИ (код – 1600)</w:t>
      </w:r>
    </w:p>
    <w:p w:rsidR="004C20D5" w:rsidRDefault="004C20D5">
      <w:pPr>
        <w:widowControl/>
        <w:numPr>
          <w:ilvl w:val="0"/>
          <w:numId w:val="4"/>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Здравоохранение и физическая культура (код – 1700)</w:t>
      </w:r>
    </w:p>
    <w:p w:rsidR="004C20D5" w:rsidRDefault="004C20D5">
      <w:pPr>
        <w:widowControl/>
        <w:numPr>
          <w:ilvl w:val="0"/>
          <w:numId w:val="4"/>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Социальная политика (код – 1800)</w:t>
      </w:r>
    </w:p>
    <w:p w:rsidR="004C20D5" w:rsidRDefault="004C20D5">
      <w:pPr>
        <w:ind w:firstLine="720"/>
      </w:pPr>
      <w:r>
        <w:t>Каждый из разделов функциональной классификации делится на соответствующие подразделы. Так, например, раздел «Образование» (код –1400) имеет 8 подразделов:</w:t>
      </w:r>
    </w:p>
    <w:p w:rsidR="004C20D5" w:rsidRDefault="004C20D5">
      <w:pPr>
        <w:pStyle w:val="13"/>
        <w:numPr>
          <w:ilvl w:val="0"/>
          <w:numId w:val="6"/>
        </w:numPr>
      </w:pPr>
      <w:r>
        <w:t>Дошкольное образование (код – 1401)</w:t>
      </w:r>
    </w:p>
    <w:p w:rsidR="004C20D5" w:rsidRDefault="004C20D5">
      <w:pPr>
        <w:widowControl/>
        <w:numPr>
          <w:ilvl w:val="0"/>
          <w:numId w:val="6"/>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Общее образование (код – 1402)</w:t>
      </w:r>
    </w:p>
    <w:p w:rsidR="004C20D5" w:rsidRDefault="004C20D5">
      <w:pPr>
        <w:widowControl/>
        <w:numPr>
          <w:ilvl w:val="0"/>
          <w:numId w:val="6"/>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Начальное профессиональное образование (код – 1403)</w:t>
      </w:r>
    </w:p>
    <w:p w:rsidR="004C20D5" w:rsidRDefault="004C20D5">
      <w:pPr>
        <w:widowControl/>
        <w:numPr>
          <w:ilvl w:val="0"/>
          <w:numId w:val="6"/>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Среднее профессиональное образование (код 1404)</w:t>
      </w:r>
    </w:p>
    <w:p w:rsidR="004C20D5" w:rsidRDefault="004C20D5">
      <w:pPr>
        <w:widowControl/>
        <w:numPr>
          <w:ilvl w:val="0"/>
          <w:numId w:val="6"/>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Переподготовка и повышение квалификации (код – 1405)</w:t>
      </w:r>
    </w:p>
    <w:p w:rsidR="004C20D5" w:rsidRDefault="004C20D5">
      <w:pPr>
        <w:widowControl/>
        <w:numPr>
          <w:ilvl w:val="0"/>
          <w:numId w:val="6"/>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Высшее профессиональное образование (код – 1406)</w:t>
      </w:r>
    </w:p>
    <w:p w:rsidR="004C20D5" w:rsidRDefault="004C20D5">
      <w:pPr>
        <w:widowControl/>
        <w:numPr>
          <w:ilvl w:val="0"/>
          <w:numId w:val="6"/>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Разработки и исследования в области образования (код – 1407)</w:t>
      </w:r>
    </w:p>
    <w:p w:rsidR="004C20D5" w:rsidRDefault="004C20D5">
      <w:pPr>
        <w:widowControl/>
        <w:numPr>
          <w:ilvl w:val="0"/>
          <w:numId w:val="6"/>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Прочие расходы в области образования (код – 1408)</w:t>
      </w:r>
    </w:p>
    <w:p w:rsidR="004C20D5" w:rsidRDefault="004C20D5">
      <w:pPr>
        <w:ind w:firstLine="720"/>
      </w:pPr>
      <w:r>
        <w:t>Внутри каждого из разделов предусмотрено распределение расходов по видам и целевым статьям, показывающим тип учреждения. Так, например, раздел «Образование» (код – 1400), подраздел «Общее образование» (код – 1402) будет иметь следующие целевые статьи:</w:t>
      </w:r>
    </w:p>
    <w:p w:rsidR="004C20D5" w:rsidRDefault="004C20D5">
      <w:pPr>
        <w:pStyle w:val="13"/>
        <w:numPr>
          <w:ilvl w:val="0"/>
          <w:numId w:val="8"/>
        </w:numPr>
      </w:pPr>
      <w:r>
        <w:t>Школы-детские сады, школы начальные, неполные средние, средние</w:t>
      </w:r>
    </w:p>
    <w:p w:rsidR="004C20D5" w:rsidRDefault="004C20D5">
      <w:pPr>
        <w:widowControl/>
        <w:numPr>
          <w:ilvl w:val="0"/>
          <w:numId w:val="8"/>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Специальные школы</w:t>
      </w:r>
    </w:p>
    <w:p w:rsidR="004C20D5" w:rsidRDefault="004C20D5">
      <w:pPr>
        <w:widowControl/>
        <w:numPr>
          <w:ilvl w:val="0"/>
          <w:numId w:val="8"/>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Вечерние и заочные средние общеобразовательные школы</w:t>
      </w:r>
    </w:p>
    <w:p w:rsidR="004C20D5" w:rsidRDefault="004C20D5">
      <w:pPr>
        <w:widowControl/>
        <w:numPr>
          <w:ilvl w:val="0"/>
          <w:numId w:val="8"/>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Школы-интернаты</w:t>
      </w:r>
    </w:p>
    <w:p w:rsidR="004C20D5" w:rsidRDefault="004C20D5">
      <w:pPr>
        <w:widowControl/>
        <w:numPr>
          <w:ilvl w:val="0"/>
          <w:numId w:val="8"/>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Учреждения по внешкольной работе с детьми</w:t>
      </w:r>
    </w:p>
    <w:p w:rsidR="004C20D5" w:rsidRDefault="004C20D5">
      <w:pPr>
        <w:widowControl/>
        <w:numPr>
          <w:ilvl w:val="0"/>
          <w:numId w:val="8"/>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Детские дома</w:t>
      </w:r>
    </w:p>
    <w:p w:rsidR="004C20D5" w:rsidRDefault="004C20D5">
      <w:pPr>
        <w:ind w:firstLine="720"/>
      </w:pPr>
      <w:r>
        <w:t>Виды расходов в свою очередь делятся на экономические статьи. Технология распределения расходов на экономические статьи, показывающие вид финансовой операции, носит унифицированный характер для любого бюджетного учреждения. Все расходы, в зависимости от экономического содержания, делятся на текущие и капитальные. Текущие расходы объединены в две группы: закупки товаров и оплата услуг, субсидии и текущие трансферты. Первая группа включает в себя расходы на оплату труда; начисления на нее; приобретение предметов снабжения и расходных материалов (канцелярских, хозяйственных, мягкого инвентаря и обмундирования, продуктов питания, прочих материалов); командировки и служебные разъезды; оплату транспортных услуг; оплату коммунальных услуг с выделением расходов на электрическую, тепловую энергию, газ, водоснабжение, прочие услуги.</w:t>
      </w:r>
    </w:p>
    <w:p w:rsidR="004C20D5" w:rsidRDefault="004C20D5">
      <w:pPr>
        <w:ind w:firstLine="720"/>
      </w:pPr>
      <w:r>
        <w:t>Из второй группы расходов наиболее значимы такие трансферты населению, как стипендии обучаемым, выдача наличных денег взамен питания, компенсационные выплаты учителям на приобретение книгоиздательской продукции, пособия на опекаемых детей и т.п. К капитальным расходам относятся капитальные вложения в основные фонды: приобретение оборудования и предметов длительного пользования, новое строительство, капитальный ремонт.</w:t>
      </w:r>
    </w:p>
    <w:p w:rsidR="004C20D5" w:rsidRDefault="004C20D5">
      <w:pPr>
        <w:ind w:firstLine="720"/>
      </w:pPr>
      <w:r>
        <w:t>Детализация бюджетных расходов по экономическим статьям связана с необходимостью усиления контроля со стороны финансирующих и административных органов за их целевым использованием. Этому соответствует принцип постатейного выделения бюджетных средств для конкретного учреждения на основе сметно-финансового обоснования или сметы расходов. Определение объемов бюджетных ассигнований и распределение разнообразных по своему характеру расходов по экономическим статьям осуществляет государственный орган управления в пределах выделенных по бюджету средств на календарный финансовый год.</w:t>
      </w:r>
    </w:p>
    <w:p w:rsidR="004C20D5" w:rsidRDefault="004C20D5">
      <w:pPr>
        <w:pStyle w:val="2"/>
        <w:keepNext w:val="0"/>
        <w:numPr>
          <w:ilvl w:val="0"/>
          <w:numId w:val="2"/>
        </w:numPr>
        <w:ind w:left="0" w:firstLine="0"/>
        <w:jc w:val="both"/>
        <w:rPr>
          <w:rStyle w:val="FontStyle11"/>
          <w:rFonts w:ascii="Arial" w:hAnsi="Arial" w:cs="Arial"/>
          <w:sz w:val="28"/>
          <w:szCs w:val="28"/>
        </w:rPr>
      </w:pPr>
      <w:bookmarkStart w:id="3" w:name="_Toc250362897"/>
      <w:r>
        <w:rPr>
          <w:rStyle w:val="FontStyle11"/>
          <w:rFonts w:ascii="Arial" w:hAnsi="Arial" w:cs="Arial"/>
          <w:sz w:val="28"/>
          <w:szCs w:val="28"/>
        </w:rPr>
        <w:t>Расходы бюджетной системы РФ на образование, культуру и искусство.</w:t>
      </w:r>
      <w:bookmarkEnd w:id="3"/>
    </w:p>
    <w:p w:rsidR="004C20D5" w:rsidRDefault="004C20D5">
      <w:pPr>
        <w:ind w:firstLine="720"/>
      </w:pPr>
      <w:r>
        <w:t>В 2008-2010 годах финансирование образования происходило, и будет происходить под влиянием изменений в структуре учащихся и с учетом завершения, начиная с 2009 года, приоритетного национального проекта «Образование» (см. таблицу 1).</w:t>
      </w:r>
    </w:p>
    <w:p w:rsidR="004C20D5" w:rsidRDefault="004C20D5">
      <w:pPr>
        <w:ind w:firstLine="720"/>
      </w:pPr>
      <w:r>
        <w:t>Распределяемые средства позволяют реализовывать меры по обеспечению государственных гарантий прав граждан на общедоступность и бесплатность начального профессионального и на конкурсной основе среднего профессионального, высшего профессионального и послевузовского профессионального образования в федеральных государственных образовательных учреждениях в пределах государственных образовательных стандартов, если образование данного уровня гражданин получает впервые.</w:t>
      </w:r>
    </w:p>
    <w:p w:rsidR="004C20D5" w:rsidRDefault="004C20D5">
      <w:pPr>
        <w:jc w:val="right"/>
      </w:pPr>
      <w:r>
        <w:t>Таблица 1</w:t>
      </w:r>
    </w:p>
    <w:p w:rsidR="004C20D5" w:rsidRDefault="004C20D5">
      <w:pPr>
        <w:jc w:val="center"/>
      </w:pPr>
      <w:r>
        <w:t>Динамика расходов федерального бюджета на финансирования образования в 2008-2010 годах</w:t>
      </w:r>
    </w:p>
    <w:tbl>
      <w:tblPr>
        <w:tblW w:w="9080" w:type="dxa"/>
        <w:jc w:val="center"/>
        <w:tblLook w:val="00A0" w:firstRow="1" w:lastRow="0" w:firstColumn="1" w:lastColumn="0" w:noHBand="0" w:noVBand="0"/>
      </w:tblPr>
      <w:tblGrid>
        <w:gridCol w:w="3860"/>
        <w:gridCol w:w="1420"/>
        <w:gridCol w:w="1360"/>
        <w:gridCol w:w="1260"/>
        <w:gridCol w:w="1180"/>
      </w:tblGrid>
      <w:tr w:rsidR="004C20D5">
        <w:trPr>
          <w:trHeight w:val="315"/>
          <w:jc w:val="center"/>
        </w:trPr>
        <w:tc>
          <w:tcPr>
            <w:tcW w:w="3860" w:type="dxa"/>
            <w:tcBorders>
              <w:top w:val="single" w:sz="4" w:space="0" w:color="auto"/>
              <w:left w:val="single" w:sz="4" w:space="0" w:color="auto"/>
              <w:bottom w:val="single" w:sz="4" w:space="0" w:color="auto"/>
              <w:right w:val="single" w:sz="4" w:space="0" w:color="auto"/>
            </w:tcBorders>
            <w:noWrap/>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w:t>
            </w:r>
          </w:p>
        </w:tc>
        <w:tc>
          <w:tcPr>
            <w:tcW w:w="1420"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2007г.</w:t>
            </w:r>
          </w:p>
        </w:tc>
        <w:tc>
          <w:tcPr>
            <w:tcW w:w="1360"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2008г.</w:t>
            </w:r>
          </w:p>
        </w:tc>
        <w:tc>
          <w:tcPr>
            <w:tcW w:w="1260"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 xml:space="preserve">2009г. </w:t>
            </w:r>
          </w:p>
        </w:tc>
        <w:tc>
          <w:tcPr>
            <w:tcW w:w="1180"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2010г.</w:t>
            </w:r>
          </w:p>
        </w:tc>
      </w:tr>
      <w:tr w:rsidR="004C20D5">
        <w:trPr>
          <w:trHeight w:val="315"/>
          <w:jc w:val="center"/>
        </w:trPr>
        <w:tc>
          <w:tcPr>
            <w:tcW w:w="386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Общий объем, млрд. руб.</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277,9</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308,9</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315,5</w:t>
            </w:r>
          </w:p>
        </w:tc>
        <w:tc>
          <w:tcPr>
            <w:tcW w:w="118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341,1</w:t>
            </w:r>
          </w:p>
        </w:tc>
      </w:tr>
      <w:tr w:rsidR="004C20D5">
        <w:trPr>
          <w:trHeight w:val="765"/>
          <w:jc w:val="center"/>
        </w:trPr>
        <w:tc>
          <w:tcPr>
            <w:tcW w:w="386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Доля в бюджетных ассигнованиях федерального бюджета, %</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5,1</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4,7</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4,2</w:t>
            </w:r>
          </w:p>
        </w:tc>
        <w:tc>
          <w:tcPr>
            <w:tcW w:w="118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4,2</w:t>
            </w:r>
          </w:p>
        </w:tc>
      </w:tr>
      <w:tr w:rsidR="004C20D5">
        <w:trPr>
          <w:trHeight w:val="615"/>
          <w:jc w:val="center"/>
        </w:trPr>
        <w:tc>
          <w:tcPr>
            <w:tcW w:w="386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Прирост к предыдущему году, млрд. руб.</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31</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6,6</w:t>
            </w:r>
          </w:p>
        </w:tc>
        <w:tc>
          <w:tcPr>
            <w:tcW w:w="118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25,6</w:t>
            </w:r>
          </w:p>
        </w:tc>
      </w:tr>
      <w:tr w:rsidR="004C20D5">
        <w:trPr>
          <w:trHeight w:val="315"/>
          <w:jc w:val="center"/>
        </w:trPr>
        <w:tc>
          <w:tcPr>
            <w:tcW w:w="386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Прирост к предыдущему году, %</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11,2</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2,1</w:t>
            </w:r>
          </w:p>
        </w:tc>
        <w:tc>
          <w:tcPr>
            <w:tcW w:w="118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8,1</w:t>
            </w:r>
          </w:p>
        </w:tc>
      </w:tr>
      <w:tr w:rsidR="004C20D5">
        <w:trPr>
          <w:trHeight w:val="315"/>
          <w:jc w:val="center"/>
        </w:trPr>
        <w:tc>
          <w:tcPr>
            <w:tcW w:w="386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Рост к уровню 2007 года, %</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111,2</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113,5</w:t>
            </w:r>
          </w:p>
        </w:tc>
        <w:tc>
          <w:tcPr>
            <w:tcW w:w="118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122,7</w:t>
            </w:r>
          </w:p>
        </w:tc>
      </w:tr>
    </w:tbl>
    <w:p w:rsidR="004C20D5" w:rsidRDefault="004C20D5"/>
    <w:p w:rsidR="004C20D5" w:rsidRDefault="004C20D5">
      <w:pPr>
        <w:ind w:firstLine="720"/>
      </w:pPr>
      <w:r>
        <w:t>На развитие образования 2008-2010г. должны повлиять демографические процессы, в результате которых численность детей в дошкольных учреждениях возрастет в 2010 году на 8,3% по сравнению с 2006 годом, а численность учащихся в школе снизится на 6% (с 14,8 млн. человек в 2006 году до 13,9 млн. человек в 2010 году). За этот период численность студентов в вузах увеличится на 5,1%, а в системе среднего профессионального образования снизится на 1,8%.</w:t>
      </w:r>
    </w:p>
    <w:p w:rsidR="004C20D5" w:rsidRDefault="004C20D5">
      <w:pPr>
        <w:ind w:firstLine="720"/>
      </w:pPr>
      <w:r>
        <w:t>Государственное финансирование образования является важнейшей статьей госбюджетов развитых стран. Приемлемая ориентация российских государственных расходов на образование (с учетом мировых тенденций) - 6% ВВП, по сравнению с выделяемыми 3,8% ВВП в 2008 году.</w:t>
      </w:r>
    </w:p>
    <w:p w:rsidR="004C20D5" w:rsidRDefault="004C20D5">
      <w:pPr>
        <w:ind w:firstLine="720"/>
      </w:pPr>
      <w:r>
        <w:t>Недостаточное государственное финансирование образования приводит к устойчивой тенденции увеличения платности образования в России за счет расходов населения.</w:t>
      </w:r>
    </w:p>
    <w:p w:rsidR="004C20D5" w:rsidRDefault="004C20D5">
      <w:pPr>
        <w:ind w:firstLine="720"/>
      </w:pPr>
      <w:r>
        <w:t>Основное место в структуре расходов занимают бюджетные ассигнования на высшее профессиональное образование: 77,7% - в 2008 году, 77,8% - в 2009 году, 74,9% - в 2010 году (см. таблицу 2).</w:t>
      </w:r>
    </w:p>
    <w:p w:rsidR="004C20D5" w:rsidRDefault="004C20D5">
      <w:pPr>
        <w:ind w:firstLine="720"/>
        <w:jc w:val="right"/>
      </w:pPr>
      <w:r>
        <w:t>Таблица 2</w:t>
      </w:r>
    </w:p>
    <w:p w:rsidR="004C20D5" w:rsidRDefault="004C20D5">
      <w:pPr>
        <w:jc w:val="center"/>
      </w:pPr>
      <w:r>
        <w:t>Структура расходов федерального бюджета в сфере образования в период 2008-2010 гг., в % к общему объему расходов по разделу</w:t>
      </w:r>
    </w:p>
    <w:tbl>
      <w:tblPr>
        <w:tblW w:w="8960" w:type="dxa"/>
        <w:jc w:val="center"/>
        <w:tblLook w:val="00A0" w:firstRow="1" w:lastRow="0" w:firstColumn="1" w:lastColumn="0" w:noHBand="0" w:noVBand="0"/>
      </w:tblPr>
      <w:tblGrid>
        <w:gridCol w:w="4920"/>
        <w:gridCol w:w="1420"/>
        <w:gridCol w:w="1360"/>
        <w:gridCol w:w="1260"/>
      </w:tblGrid>
      <w:tr w:rsidR="004C20D5">
        <w:trPr>
          <w:trHeight w:val="315"/>
          <w:jc w:val="center"/>
        </w:trPr>
        <w:tc>
          <w:tcPr>
            <w:tcW w:w="4920" w:type="dxa"/>
            <w:tcBorders>
              <w:top w:val="single" w:sz="4" w:space="0" w:color="auto"/>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w:t>
            </w:r>
          </w:p>
        </w:tc>
        <w:tc>
          <w:tcPr>
            <w:tcW w:w="1420"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2008</w:t>
            </w:r>
          </w:p>
        </w:tc>
        <w:tc>
          <w:tcPr>
            <w:tcW w:w="1360"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2009</w:t>
            </w:r>
          </w:p>
        </w:tc>
        <w:tc>
          <w:tcPr>
            <w:tcW w:w="1260"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2010</w:t>
            </w:r>
          </w:p>
        </w:tc>
      </w:tr>
      <w:tr w:rsidR="004C20D5">
        <w:trPr>
          <w:trHeight w:val="3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Дошкольное образование</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w:t>
            </w:r>
          </w:p>
        </w:tc>
      </w:tr>
      <w:tr w:rsidR="004C20D5">
        <w:trPr>
          <w:trHeight w:val="3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Общее образование</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1,2</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4,6</w:t>
            </w:r>
          </w:p>
        </w:tc>
      </w:tr>
      <w:tr w:rsidR="004C20D5">
        <w:trPr>
          <w:trHeight w:val="6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Начальное профессиональное образование</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3,9</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3,9</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3,4</w:t>
            </w:r>
          </w:p>
        </w:tc>
      </w:tr>
      <w:tr w:rsidR="004C20D5">
        <w:trPr>
          <w:trHeight w:val="3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Среднее профессиональное образование</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9,6</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9,9</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9,9</w:t>
            </w:r>
          </w:p>
        </w:tc>
      </w:tr>
      <w:tr w:rsidR="004C20D5">
        <w:trPr>
          <w:trHeight w:val="6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Переподготовка и повышение квалификации</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1,3</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1,4</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1,4</w:t>
            </w:r>
          </w:p>
        </w:tc>
      </w:tr>
      <w:tr w:rsidR="004C20D5">
        <w:trPr>
          <w:trHeight w:val="3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Высшее профессиональное образование</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77,7</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77,8</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74,9</w:t>
            </w:r>
          </w:p>
        </w:tc>
      </w:tr>
      <w:tr w:rsidR="004C20D5">
        <w:trPr>
          <w:trHeight w:val="6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Молодежная политика и оздоровление детей</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0,1</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0,1</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0,1</w:t>
            </w:r>
          </w:p>
        </w:tc>
      </w:tr>
      <w:tr w:rsidR="004C20D5">
        <w:trPr>
          <w:trHeight w:val="6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Прикладные научные исследования в области образования</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0,5</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0,5</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0,5</w:t>
            </w:r>
          </w:p>
        </w:tc>
      </w:tr>
      <w:tr w:rsidR="004C20D5">
        <w:trPr>
          <w:trHeight w:val="3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Другие вопросы в области образования</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4,9</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4,2</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4,2</w:t>
            </w:r>
          </w:p>
        </w:tc>
      </w:tr>
      <w:tr w:rsidR="004C20D5">
        <w:trPr>
          <w:trHeight w:val="315"/>
          <w:jc w:val="center"/>
        </w:trPr>
        <w:tc>
          <w:tcPr>
            <w:tcW w:w="4920"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xml:space="preserve">Итого по разделу </w:t>
            </w:r>
          </w:p>
        </w:tc>
        <w:tc>
          <w:tcPr>
            <w:tcW w:w="142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260"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r>
    </w:tbl>
    <w:p w:rsidR="004C20D5" w:rsidRDefault="004C20D5">
      <w:pPr>
        <w:jc w:val="center"/>
      </w:pPr>
    </w:p>
    <w:p w:rsidR="004C20D5" w:rsidRDefault="004C20D5">
      <w:pPr>
        <w:ind w:firstLine="720"/>
        <w:jc w:val="left"/>
      </w:pPr>
      <w:r>
        <w:t>К полномочиям Российской Федерации в сфере культуры, кинематографии и средств массовой информации отнесены:</w:t>
      </w:r>
    </w:p>
    <w:p w:rsidR="004C20D5" w:rsidRDefault="004C20D5">
      <w:pPr>
        <w:pStyle w:val="13"/>
        <w:numPr>
          <w:ilvl w:val="0"/>
          <w:numId w:val="10"/>
        </w:numPr>
        <w:jc w:val="left"/>
      </w:pPr>
      <w:r>
        <w:t>содержание федеральных государственных учреждений и проведение мероприятий общероссийского характера в указанных сферах;</w:t>
      </w:r>
    </w:p>
    <w:p w:rsidR="004C20D5" w:rsidRDefault="004C20D5">
      <w:pPr>
        <w:widowControl/>
        <w:numPr>
          <w:ilvl w:val="0"/>
          <w:numId w:val="10"/>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сохранение, использование, популяризация и государственная охрана объектов культурного наследия;</w:t>
      </w:r>
    </w:p>
    <w:p w:rsidR="004C20D5" w:rsidRDefault="004C20D5">
      <w:pPr>
        <w:widowControl/>
        <w:numPr>
          <w:ilvl w:val="0"/>
          <w:numId w:val="10"/>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охрана и сохранение особо ценных объектов культурного наследия народов Российской Федерации.</w:t>
      </w:r>
    </w:p>
    <w:p w:rsidR="004C20D5" w:rsidRDefault="004C20D5">
      <w:pPr>
        <w:ind w:firstLine="720"/>
        <w:jc w:val="left"/>
      </w:pPr>
      <w:r>
        <w:t>Расходы на культуру, кинематографию и средства массовой информации на 2008, 2009,2010 годы  характеризуются снижающейся динамикой (см. таблицу  3).</w:t>
      </w:r>
    </w:p>
    <w:p w:rsidR="004C20D5" w:rsidRDefault="004C20D5">
      <w:pPr>
        <w:jc w:val="right"/>
      </w:pPr>
      <w:r>
        <w:t>Таблица 3</w:t>
      </w:r>
    </w:p>
    <w:p w:rsidR="004C20D5" w:rsidRDefault="004C20D5">
      <w:pPr>
        <w:jc w:val="center"/>
      </w:pPr>
      <w:r>
        <w:t>Динамика бюджетных ассигнований на исполнение расходных обязательств Российской Федерации на 2008-2010 годы</w:t>
      </w:r>
    </w:p>
    <w:tbl>
      <w:tblPr>
        <w:tblW w:w="9371" w:type="dxa"/>
        <w:tblInd w:w="93" w:type="dxa"/>
        <w:tblLook w:val="00A0" w:firstRow="1" w:lastRow="0" w:firstColumn="1" w:lastColumn="0" w:noHBand="0" w:noVBand="0"/>
      </w:tblPr>
      <w:tblGrid>
        <w:gridCol w:w="4268"/>
        <w:gridCol w:w="1276"/>
        <w:gridCol w:w="1275"/>
        <w:gridCol w:w="1418"/>
        <w:gridCol w:w="1134"/>
      </w:tblGrid>
      <w:tr w:rsidR="004C20D5">
        <w:trPr>
          <w:trHeight w:val="315"/>
        </w:trPr>
        <w:tc>
          <w:tcPr>
            <w:tcW w:w="4268" w:type="dxa"/>
            <w:tcBorders>
              <w:top w:val="single" w:sz="4" w:space="0" w:color="auto"/>
              <w:left w:val="single" w:sz="4" w:space="0" w:color="auto"/>
              <w:bottom w:val="single" w:sz="4" w:space="0" w:color="auto"/>
              <w:right w:val="single" w:sz="4" w:space="0" w:color="auto"/>
            </w:tcBorders>
            <w:noWrap/>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w:t>
            </w:r>
          </w:p>
        </w:tc>
        <w:tc>
          <w:tcPr>
            <w:tcW w:w="1276"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2007г.</w:t>
            </w:r>
          </w:p>
        </w:tc>
        <w:tc>
          <w:tcPr>
            <w:tcW w:w="1275"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2008г.</w:t>
            </w:r>
          </w:p>
        </w:tc>
        <w:tc>
          <w:tcPr>
            <w:tcW w:w="1418"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 xml:space="preserve">2009г. </w:t>
            </w:r>
          </w:p>
        </w:tc>
        <w:tc>
          <w:tcPr>
            <w:tcW w:w="1134" w:type="dxa"/>
            <w:tcBorders>
              <w:top w:val="single" w:sz="4" w:space="0" w:color="auto"/>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2010г.</w:t>
            </w:r>
          </w:p>
        </w:tc>
      </w:tr>
      <w:tr w:rsidR="004C20D5">
        <w:trPr>
          <w:trHeight w:val="315"/>
        </w:trPr>
        <w:tc>
          <w:tcPr>
            <w:tcW w:w="4268"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Общий объем, млрд. руб.</w:t>
            </w:r>
          </w:p>
        </w:tc>
        <w:tc>
          <w:tcPr>
            <w:tcW w:w="1276"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67,8</w:t>
            </w:r>
          </w:p>
        </w:tc>
        <w:tc>
          <w:tcPr>
            <w:tcW w:w="1275"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82,7</w:t>
            </w:r>
          </w:p>
        </w:tc>
        <w:tc>
          <w:tcPr>
            <w:tcW w:w="1418"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70,2</w:t>
            </w:r>
          </w:p>
        </w:tc>
        <w:tc>
          <w:tcPr>
            <w:tcW w:w="1134"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67,5</w:t>
            </w:r>
          </w:p>
        </w:tc>
      </w:tr>
      <w:tr w:rsidR="004C20D5">
        <w:trPr>
          <w:trHeight w:val="765"/>
        </w:trPr>
        <w:tc>
          <w:tcPr>
            <w:tcW w:w="4268"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Доля в бюджетных ассигнованиях федерального бюджета, %</w:t>
            </w:r>
          </w:p>
        </w:tc>
        <w:tc>
          <w:tcPr>
            <w:tcW w:w="1276"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1,2</w:t>
            </w:r>
          </w:p>
        </w:tc>
        <w:tc>
          <w:tcPr>
            <w:tcW w:w="1275"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1,3</w:t>
            </w:r>
          </w:p>
        </w:tc>
        <w:tc>
          <w:tcPr>
            <w:tcW w:w="1418"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0,9</w:t>
            </w:r>
          </w:p>
        </w:tc>
        <w:tc>
          <w:tcPr>
            <w:tcW w:w="1134"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0,8</w:t>
            </w:r>
          </w:p>
        </w:tc>
      </w:tr>
      <w:tr w:rsidR="004C20D5">
        <w:trPr>
          <w:trHeight w:val="615"/>
        </w:trPr>
        <w:tc>
          <w:tcPr>
            <w:tcW w:w="4268"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Прирост к предыдущему году, млрд. руб.</w:t>
            </w:r>
          </w:p>
        </w:tc>
        <w:tc>
          <w:tcPr>
            <w:tcW w:w="1276"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275"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14,9</w:t>
            </w:r>
          </w:p>
        </w:tc>
        <w:tc>
          <w:tcPr>
            <w:tcW w:w="1418"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-12,5</w:t>
            </w:r>
          </w:p>
        </w:tc>
        <w:tc>
          <w:tcPr>
            <w:tcW w:w="1134"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-2,8</w:t>
            </w:r>
          </w:p>
        </w:tc>
      </w:tr>
      <w:tr w:rsidR="004C20D5">
        <w:trPr>
          <w:trHeight w:val="315"/>
        </w:trPr>
        <w:tc>
          <w:tcPr>
            <w:tcW w:w="4268"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Прирост к предыдущему году, %</w:t>
            </w:r>
          </w:p>
        </w:tc>
        <w:tc>
          <w:tcPr>
            <w:tcW w:w="1276"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275"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21,9</w:t>
            </w:r>
          </w:p>
        </w:tc>
        <w:tc>
          <w:tcPr>
            <w:tcW w:w="1418"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-15</w:t>
            </w:r>
          </w:p>
        </w:tc>
        <w:tc>
          <w:tcPr>
            <w:tcW w:w="1134"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-3,9</w:t>
            </w:r>
          </w:p>
        </w:tc>
      </w:tr>
      <w:tr w:rsidR="004C20D5">
        <w:trPr>
          <w:trHeight w:val="315"/>
        </w:trPr>
        <w:tc>
          <w:tcPr>
            <w:tcW w:w="4268" w:type="dxa"/>
            <w:tcBorders>
              <w:top w:val="nil"/>
              <w:left w:val="single" w:sz="4" w:space="0" w:color="auto"/>
              <w:bottom w:val="single" w:sz="4" w:space="0" w:color="auto"/>
              <w:right w:val="single" w:sz="4" w:space="0" w:color="auto"/>
            </w:tcBorders>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Рост к уровню 2007 года, %</w:t>
            </w:r>
          </w:p>
        </w:tc>
        <w:tc>
          <w:tcPr>
            <w:tcW w:w="1276"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275"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122,1</w:t>
            </w:r>
          </w:p>
        </w:tc>
        <w:tc>
          <w:tcPr>
            <w:tcW w:w="1418"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103,7</w:t>
            </w:r>
          </w:p>
        </w:tc>
        <w:tc>
          <w:tcPr>
            <w:tcW w:w="1134" w:type="dxa"/>
            <w:tcBorders>
              <w:top w:val="nil"/>
              <w:left w:val="nil"/>
              <w:bottom w:val="single" w:sz="4" w:space="0" w:color="auto"/>
              <w:right w:val="single" w:sz="4" w:space="0" w:color="auto"/>
            </w:tcBorders>
            <w:noWrap/>
            <w:vAlign w:val="center"/>
          </w:tcPr>
          <w:p w:rsidR="004C20D5" w:rsidRDefault="004C20D5">
            <w:pPr>
              <w:widowControl/>
              <w:autoSpaceDE/>
              <w:adjustRightInd/>
              <w:spacing w:line="240" w:lineRule="auto"/>
              <w:jc w:val="center"/>
              <w:rPr>
                <w:rFonts w:cs="Arial"/>
                <w:color w:val="000000"/>
                <w:sz w:val="24"/>
              </w:rPr>
            </w:pPr>
            <w:r>
              <w:rPr>
                <w:rFonts w:cs="Arial"/>
                <w:color w:val="000000"/>
                <w:sz w:val="24"/>
              </w:rPr>
              <w:t>99,6</w:t>
            </w:r>
          </w:p>
        </w:tc>
      </w:tr>
    </w:tbl>
    <w:p w:rsidR="004C20D5" w:rsidRDefault="004C20D5">
      <w:pPr>
        <w:jc w:val="center"/>
      </w:pPr>
    </w:p>
    <w:p w:rsidR="004C20D5" w:rsidRDefault="004C20D5">
      <w:pPr>
        <w:pStyle w:val="2"/>
        <w:keepNext w:val="0"/>
        <w:numPr>
          <w:ilvl w:val="0"/>
          <w:numId w:val="2"/>
        </w:numPr>
        <w:ind w:left="0" w:firstLine="0"/>
        <w:jc w:val="both"/>
        <w:rPr>
          <w:rStyle w:val="FontStyle11"/>
          <w:rFonts w:ascii="Arial" w:hAnsi="Arial" w:cs="Arial"/>
          <w:sz w:val="28"/>
          <w:szCs w:val="28"/>
        </w:rPr>
      </w:pPr>
      <w:bookmarkStart w:id="4" w:name="_Toc250362898"/>
      <w:r>
        <w:rPr>
          <w:rStyle w:val="FontStyle11"/>
          <w:rFonts w:ascii="Arial" w:hAnsi="Arial" w:cs="Arial"/>
          <w:sz w:val="28"/>
          <w:szCs w:val="28"/>
        </w:rPr>
        <w:t>Расходы бюджетов на здравоохранение, физическую культуру и спорт.</w:t>
      </w:r>
      <w:bookmarkEnd w:id="4"/>
    </w:p>
    <w:p w:rsidR="004C20D5" w:rsidRDefault="004C20D5">
      <w:pPr>
        <w:ind w:firstLine="720"/>
      </w:pPr>
      <w:r>
        <w:t>Бюджетные ассигнования федерального бюджета по разделу «Здравоохранение, физическая культура и спорт» на период 2008-2010 годы по сравнению с 2007 годом возрастут на 33% (см. таблицу 4).</w:t>
      </w:r>
    </w:p>
    <w:p w:rsidR="004C20D5" w:rsidRDefault="004C20D5">
      <w:pPr>
        <w:jc w:val="right"/>
      </w:pPr>
      <w:r>
        <w:t>Таблица 4</w:t>
      </w:r>
    </w:p>
    <w:p w:rsidR="004C20D5" w:rsidRDefault="004C20D5">
      <w:pPr>
        <w:jc w:val="center"/>
      </w:pPr>
      <w:r>
        <w:t>Ассигнования федерального бюджета по разделу «Здравоохранение, физическая культура и спорт»  на период 2008-2010 годы</w:t>
      </w:r>
    </w:p>
    <w:tbl>
      <w:tblPr>
        <w:tblW w:w="8976" w:type="dxa"/>
        <w:jc w:val="center"/>
        <w:tblLook w:val="00A0" w:firstRow="1" w:lastRow="0" w:firstColumn="1" w:lastColumn="0" w:noHBand="0" w:noVBand="0"/>
      </w:tblPr>
      <w:tblGrid>
        <w:gridCol w:w="4268"/>
        <w:gridCol w:w="1134"/>
        <w:gridCol w:w="1134"/>
        <w:gridCol w:w="1260"/>
        <w:gridCol w:w="1180"/>
      </w:tblGrid>
      <w:tr w:rsidR="004C20D5">
        <w:trPr>
          <w:trHeight w:val="315"/>
          <w:jc w:val="center"/>
        </w:trPr>
        <w:tc>
          <w:tcPr>
            <w:tcW w:w="426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134"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2007г.</w:t>
            </w:r>
          </w:p>
        </w:tc>
        <w:tc>
          <w:tcPr>
            <w:tcW w:w="1134"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2008г.</w:t>
            </w:r>
          </w:p>
        </w:tc>
        <w:tc>
          <w:tcPr>
            <w:tcW w:w="12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2009г.</w:t>
            </w:r>
          </w:p>
        </w:tc>
        <w:tc>
          <w:tcPr>
            <w:tcW w:w="118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2010г.</w:t>
            </w:r>
          </w:p>
        </w:tc>
      </w:tr>
      <w:tr w:rsidR="004C20D5">
        <w:trPr>
          <w:trHeight w:val="315"/>
          <w:jc w:val="center"/>
        </w:trPr>
        <w:tc>
          <w:tcPr>
            <w:tcW w:w="4268"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Общий объем, млрд. рублей</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206,4</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218,3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234,2</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274,6*</w:t>
            </w:r>
          </w:p>
        </w:tc>
      </w:tr>
      <w:tr w:rsidR="004C20D5">
        <w:trPr>
          <w:trHeight w:val="615"/>
          <w:jc w:val="center"/>
        </w:trPr>
        <w:tc>
          <w:tcPr>
            <w:tcW w:w="4268"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Доля в бюджетных ассигнованиях федерального бюджета, %</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3,8</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3,1</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3,4</w:t>
            </w:r>
          </w:p>
        </w:tc>
      </w:tr>
      <w:tr w:rsidR="004C20D5">
        <w:trPr>
          <w:trHeight w:val="615"/>
          <w:jc w:val="center"/>
        </w:trPr>
        <w:tc>
          <w:tcPr>
            <w:tcW w:w="4268"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Прирост к предыдущему году, млрд. рублей</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11,9</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15,9</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40,4</w:t>
            </w:r>
          </w:p>
        </w:tc>
      </w:tr>
      <w:tr w:rsidR="004C20D5">
        <w:trPr>
          <w:trHeight w:val="315"/>
          <w:jc w:val="center"/>
        </w:trPr>
        <w:tc>
          <w:tcPr>
            <w:tcW w:w="4268"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Прирост к предыдущему году, %</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5,8</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7,2</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17,2</w:t>
            </w:r>
          </w:p>
        </w:tc>
      </w:tr>
      <w:tr w:rsidR="004C20D5">
        <w:trPr>
          <w:trHeight w:val="315"/>
          <w:jc w:val="center"/>
        </w:trPr>
        <w:tc>
          <w:tcPr>
            <w:tcW w:w="4268"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Рост к уровню 2007 года, %</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134"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105,8</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113,5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133</w:t>
            </w:r>
          </w:p>
        </w:tc>
      </w:tr>
    </w:tbl>
    <w:p w:rsidR="004C20D5" w:rsidRDefault="004C20D5">
      <w:r>
        <w:t>* Включая зарезервированные средства на реализацию отдельных направлений приоритетного национального проекта «Здоровье» в объеме 38,8 млрд. рублей до принятия решений о формах их реализации.</w:t>
      </w:r>
    </w:p>
    <w:p w:rsidR="004C20D5" w:rsidRDefault="004C20D5">
      <w:pPr>
        <w:ind w:firstLine="720"/>
      </w:pPr>
      <w:r>
        <w:t>Основное место в структуре ассигнований по данному разделу занимают расходы на здравоохранение, в которых, в свою очередь, наибольшая доля приходится на оказание стационарной медицинской помощи (см. таблицу 5).</w:t>
      </w:r>
    </w:p>
    <w:p w:rsidR="004C20D5" w:rsidRDefault="004C20D5">
      <w:pPr>
        <w:jc w:val="right"/>
      </w:pPr>
      <w:r>
        <w:t>Таблица 5</w:t>
      </w:r>
    </w:p>
    <w:p w:rsidR="004C20D5" w:rsidRDefault="004C20D5">
      <w:pPr>
        <w:jc w:val="center"/>
      </w:pPr>
      <w:r>
        <w:t>Структура бюджетных ассигнований проекта  федерального бюджета по разделу «Здравоохранение,  физическая культура и спорт» на 2008-2010 годы,  в % к общему объему расходов по разделу</w:t>
      </w:r>
    </w:p>
    <w:tbl>
      <w:tblPr>
        <w:tblW w:w="8960" w:type="dxa"/>
        <w:jc w:val="center"/>
        <w:tblLook w:val="00A0" w:firstRow="1" w:lastRow="0" w:firstColumn="1" w:lastColumn="0" w:noHBand="0" w:noVBand="0"/>
      </w:tblPr>
      <w:tblGrid>
        <w:gridCol w:w="4920"/>
        <w:gridCol w:w="1420"/>
        <w:gridCol w:w="1360"/>
        <w:gridCol w:w="1260"/>
      </w:tblGrid>
      <w:tr w:rsidR="004C20D5">
        <w:trPr>
          <w:trHeight w:val="315"/>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42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2008 г.</w:t>
            </w:r>
          </w:p>
        </w:tc>
        <w:tc>
          <w:tcPr>
            <w:tcW w:w="13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2009 г.</w:t>
            </w:r>
          </w:p>
        </w:tc>
        <w:tc>
          <w:tcPr>
            <w:tcW w:w="12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2010 г.</w:t>
            </w:r>
          </w:p>
        </w:tc>
      </w:tr>
      <w:tr w:rsidR="004C20D5">
        <w:trPr>
          <w:trHeight w:val="3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Стационарная медицинская помощь</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62,2</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64,8</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70,6</w:t>
            </w:r>
          </w:p>
        </w:tc>
      </w:tr>
      <w:tr w:rsidR="004C20D5">
        <w:trPr>
          <w:trHeight w:val="3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Амбулаторная помощь</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5,1</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5,2</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4,8</w:t>
            </w:r>
          </w:p>
        </w:tc>
      </w:tr>
      <w:tr w:rsidR="004C20D5">
        <w:trPr>
          <w:trHeight w:val="3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Скорая медицинская помощь</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0,2</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0,2</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0,1</w:t>
            </w:r>
          </w:p>
        </w:tc>
      </w:tr>
      <w:tr w:rsidR="004C20D5">
        <w:trPr>
          <w:trHeight w:val="3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Санаторно-оздоровительная помощь</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7,2</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7,1</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6,4</w:t>
            </w:r>
          </w:p>
        </w:tc>
      </w:tr>
      <w:tr w:rsidR="004C20D5">
        <w:trPr>
          <w:trHeight w:val="9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Заготовка, переработка, хранение и обеспечение безопасности донорской крови и ее компонентов</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w:t>
            </w:r>
          </w:p>
        </w:tc>
      </w:tr>
      <w:tr w:rsidR="004C20D5">
        <w:trPr>
          <w:trHeight w:val="6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Санитарно-эпидемиологическое благополучие</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3,3</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3,6</w:t>
            </w:r>
          </w:p>
        </w:tc>
      </w:tr>
      <w:tr w:rsidR="004C20D5">
        <w:trPr>
          <w:trHeight w:val="3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Физическая культура и спорт</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6,2</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5,6</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3,2</w:t>
            </w:r>
          </w:p>
        </w:tc>
      </w:tr>
      <w:tr w:rsidR="004C20D5">
        <w:trPr>
          <w:trHeight w:val="9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Прикладные научные исследования в области здравоохранения, физической культуры и спорта</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1,5</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1,4</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w:t>
            </w:r>
          </w:p>
        </w:tc>
      </w:tr>
      <w:tr w:rsidR="004C20D5">
        <w:trPr>
          <w:trHeight w:val="9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Другие вопросы в области здравоохранения, физической культуры и спорта</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13,2</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9,1</w:t>
            </w:r>
          </w:p>
        </w:tc>
      </w:tr>
      <w:tr w:rsidR="004C20D5">
        <w:trPr>
          <w:trHeight w:val="315"/>
          <w:jc w:val="center"/>
        </w:trPr>
        <w:tc>
          <w:tcPr>
            <w:tcW w:w="492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Итого по разделу</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r>
    </w:tbl>
    <w:p w:rsidR="004C20D5" w:rsidRDefault="004C20D5">
      <w:pPr>
        <w:jc w:val="center"/>
      </w:pPr>
    </w:p>
    <w:p w:rsidR="004C20D5" w:rsidRDefault="004C20D5">
      <w:pPr>
        <w:ind w:firstLine="720"/>
      </w:pPr>
      <w:r>
        <w:t>Удельный вес расходов федерального бюджета по разделу «Здравоохранение и спорт» в общероссийских расходах возрастет по сравнению с 2006 годом с 3,49% до 3,77%, по разделу «Здравоохранение» - с 3,07% до 3,28%.</w:t>
      </w:r>
    </w:p>
    <w:p w:rsidR="004C20D5" w:rsidRDefault="004C20D5">
      <w:pPr>
        <w:ind w:firstLine="720"/>
      </w:pPr>
      <w:r>
        <w:t>Следует отметить, что Правительству Российской Федерации пока не удалось в полной мере решить задачу по завершению формирования системы финансирования стационарных медицинских учреждений, основанной на стандартизации медицинской помощи с ориентацией на конечный результат. Эта система предусматривает поэтапный переход на преимущественно одноканальное финансирование, при котором действующая бюджетно-страховая система финансирования здравоохранения должна быть преобразована в систему финансирования, основанную на страховом принципе.</w:t>
      </w:r>
    </w:p>
    <w:p w:rsidR="004C20D5" w:rsidRDefault="004C20D5">
      <w:pPr>
        <w:pStyle w:val="2"/>
        <w:keepNext w:val="0"/>
        <w:numPr>
          <w:ilvl w:val="0"/>
          <w:numId w:val="2"/>
        </w:numPr>
        <w:ind w:left="0" w:firstLine="0"/>
        <w:jc w:val="both"/>
        <w:rPr>
          <w:rStyle w:val="FontStyle11"/>
          <w:rFonts w:ascii="Arial" w:hAnsi="Arial" w:cs="Arial"/>
          <w:sz w:val="28"/>
          <w:szCs w:val="28"/>
        </w:rPr>
      </w:pPr>
      <w:bookmarkStart w:id="5" w:name="_Toc250362899"/>
      <w:r>
        <w:rPr>
          <w:rStyle w:val="FontStyle11"/>
          <w:rFonts w:ascii="Arial" w:hAnsi="Arial" w:cs="Arial"/>
          <w:sz w:val="28"/>
          <w:szCs w:val="28"/>
        </w:rPr>
        <w:t>Расходы бюджетной системы на социальную поддержку РФ.</w:t>
      </w:r>
      <w:bookmarkEnd w:id="5"/>
    </w:p>
    <w:p w:rsidR="004C20D5" w:rsidRDefault="004C20D5">
      <w:pPr>
        <w:ind w:firstLine="720"/>
      </w:pPr>
      <w:r>
        <w:t>Расходы по разделу «Социальная политика» на первый взгляд представляются одними из самых высоких по темпам роста (см. таблицу 6), но этот рост определяют расходы, которые предназначены исключительно для повышения пенсий и улучшения социального обслуживания военных и приравненных к ним категорий работников, которые по справедливости следует отнести к расходам на оборону и безопасность. Это наглядно иллюстрирует структура расходов по разделу «Социальная политика» и темпы их роста в 2008-2010 годах (см. таблицу 7). Существенное увеличение ассигнований по данному разделу связано с ростом денежного довольствия военнослужащих, в соответствии с которым рассчитывается пенсионное обеспечение указанных лиц, а также индексацией ежемесячного пожизненного содержания судей по уровню роста потребительских цен (см. таблицу 8). С учетом данной структуры расходов доля собственно социальных расходов бюджета составит не более 11% распределенных расходов.</w:t>
      </w:r>
    </w:p>
    <w:p w:rsidR="004C20D5" w:rsidRDefault="004C20D5">
      <w:pPr>
        <w:jc w:val="right"/>
      </w:pPr>
      <w:r>
        <w:t>Таблица 6</w:t>
      </w:r>
    </w:p>
    <w:p w:rsidR="004C20D5" w:rsidRDefault="004C20D5">
      <w:pPr>
        <w:jc w:val="center"/>
      </w:pPr>
      <w:r>
        <w:t>Расходы федерального бюджета по разделу «Социальная политика»</w:t>
      </w:r>
    </w:p>
    <w:tbl>
      <w:tblPr>
        <w:tblW w:w="8600" w:type="dxa"/>
        <w:jc w:val="center"/>
        <w:tblLook w:val="00A0" w:firstRow="1" w:lastRow="0" w:firstColumn="1" w:lastColumn="0" w:noHBand="0" w:noVBand="0"/>
      </w:tblPr>
      <w:tblGrid>
        <w:gridCol w:w="3380"/>
        <w:gridCol w:w="1420"/>
        <w:gridCol w:w="1360"/>
        <w:gridCol w:w="1260"/>
        <w:gridCol w:w="1180"/>
      </w:tblGrid>
      <w:tr w:rsidR="004C20D5">
        <w:trPr>
          <w:trHeight w:val="315"/>
          <w:jc w:val="center"/>
        </w:trPr>
        <w:tc>
          <w:tcPr>
            <w:tcW w:w="3380" w:type="dxa"/>
            <w:tcBorders>
              <w:top w:val="single" w:sz="4" w:space="0" w:color="000000"/>
              <w:left w:val="single" w:sz="4" w:space="0" w:color="000000"/>
              <w:bottom w:val="nil"/>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420" w:type="dxa"/>
            <w:tcBorders>
              <w:top w:val="single" w:sz="4" w:space="0" w:color="000000"/>
              <w:left w:val="nil"/>
              <w:bottom w:val="nil"/>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2007 г.</w:t>
            </w:r>
          </w:p>
        </w:tc>
        <w:tc>
          <w:tcPr>
            <w:tcW w:w="13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2008 г.</w:t>
            </w:r>
          </w:p>
        </w:tc>
        <w:tc>
          <w:tcPr>
            <w:tcW w:w="12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2009 г.</w:t>
            </w:r>
          </w:p>
        </w:tc>
        <w:tc>
          <w:tcPr>
            <w:tcW w:w="118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2010 г.</w:t>
            </w:r>
          </w:p>
        </w:tc>
      </w:tr>
      <w:tr w:rsidR="004C20D5">
        <w:trPr>
          <w:trHeight w:val="615"/>
          <w:jc w:val="center"/>
        </w:trPr>
        <w:tc>
          <w:tcPr>
            <w:tcW w:w="33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Общий объем ассигнований (млрд. руб.)</w:t>
            </w:r>
          </w:p>
        </w:tc>
        <w:tc>
          <w:tcPr>
            <w:tcW w:w="142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215,5</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273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362,4</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427,5</w:t>
            </w:r>
          </w:p>
        </w:tc>
      </w:tr>
      <w:tr w:rsidR="004C20D5">
        <w:trPr>
          <w:trHeight w:val="6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Рост к уровню предыдущего года (%)</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126,6</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132,7</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118</w:t>
            </w:r>
          </w:p>
        </w:tc>
      </w:tr>
      <w:tr w:rsidR="004C20D5">
        <w:trPr>
          <w:trHeight w:val="6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Удельный вес в общих расходах федерального бюджета (%)</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3,9</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4,2</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5,3</w:t>
            </w:r>
          </w:p>
        </w:tc>
      </w:tr>
    </w:tbl>
    <w:p w:rsidR="004C20D5" w:rsidRDefault="004C20D5">
      <w:pPr>
        <w:jc w:val="center"/>
      </w:pPr>
    </w:p>
    <w:p w:rsidR="004C20D5" w:rsidRDefault="004C20D5">
      <w:pPr>
        <w:jc w:val="right"/>
      </w:pPr>
      <w:r>
        <w:t>Таблица 7</w:t>
      </w:r>
    </w:p>
    <w:p w:rsidR="004C20D5" w:rsidRDefault="004C20D5">
      <w:pPr>
        <w:jc w:val="center"/>
      </w:pPr>
      <w:r>
        <w:t>Структура расходов по разделу «Социальная политика», в %</w:t>
      </w:r>
    </w:p>
    <w:tbl>
      <w:tblPr>
        <w:tblW w:w="7420" w:type="dxa"/>
        <w:jc w:val="center"/>
        <w:tblLook w:val="00A0" w:firstRow="1" w:lastRow="0" w:firstColumn="1" w:lastColumn="0" w:noHBand="0" w:noVBand="0"/>
      </w:tblPr>
      <w:tblGrid>
        <w:gridCol w:w="3380"/>
        <w:gridCol w:w="1420"/>
        <w:gridCol w:w="1360"/>
        <w:gridCol w:w="1260"/>
      </w:tblGrid>
      <w:tr w:rsidR="004C20D5">
        <w:trPr>
          <w:trHeight w:val="315"/>
          <w:jc w:val="center"/>
        </w:trPr>
        <w:tc>
          <w:tcPr>
            <w:tcW w:w="3380" w:type="dxa"/>
            <w:tcBorders>
              <w:top w:val="single" w:sz="4" w:space="0" w:color="000000"/>
              <w:left w:val="single" w:sz="4" w:space="0" w:color="000000"/>
              <w:bottom w:val="nil"/>
              <w:right w:val="single" w:sz="4" w:space="0" w:color="000000"/>
            </w:tcBorders>
            <w:shd w:val="clear" w:color="auto" w:fill="FFFFFF"/>
            <w:vAlign w:val="bottom"/>
          </w:tcPr>
          <w:p w:rsidR="004C20D5" w:rsidRDefault="004C20D5">
            <w:pPr>
              <w:widowControl/>
              <w:autoSpaceDE/>
              <w:adjustRightInd/>
              <w:spacing w:line="240" w:lineRule="auto"/>
              <w:jc w:val="center"/>
              <w:rPr>
                <w:rFonts w:cs="Arial"/>
                <w:bCs/>
                <w:color w:val="000000"/>
                <w:sz w:val="24"/>
              </w:rPr>
            </w:pPr>
            <w:r>
              <w:rPr>
                <w:rFonts w:cs="Arial"/>
                <w:bCs/>
                <w:color w:val="000000"/>
                <w:sz w:val="24"/>
              </w:rPr>
              <w:t>Подразделы</w:t>
            </w:r>
          </w:p>
        </w:tc>
        <w:tc>
          <w:tcPr>
            <w:tcW w:w="142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Cs/>
                <w:color w:val="000000"/>
                <w:sz w:val="24"/>
              </w:rPr>
            </w:pPr>
            <w:r>
              <w:rPr>
                <w:rFonts w:cs="Arial"/>
                <w:bCs/>
                <w:color w:val="000000"/>
                <w:sz w:val="24"/>
              </w:rPr>
              <w:t>2008 г.</w:t>
            </w:r>
          </w:p>
        </w:tc>
        <w:tc>
          <w:tcPr>
            <w:tcW w:w="13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Cs/>
                <w:color w:val="000000"/>
                <w:sz w:val="24"/>
              </w:rPr>
            </w:pPr>
            <w:r>
              <w:rPr>
                <w:rFonts w:cs="Arial"/>
                <w:bCs/>
                <w:color w:val="000000"/>
                <w:sz w:val="24"/>
              </w:rPr>
              <w:t>2009 г.</w:t>
            </w:r>
          </w:p>
        </w:tc>
        <w:tc>
          <w:tcPr>
            <w:tcW w:w="12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Cs/>
                <w:color w:val="000000"/>
                <w:sz w:val="24"/>
              </w:rPr>
            </w:pPr>
            <w:r>
              <w:rPr>
                <w:rFonts w:cs="Arial"/>
                <w:bCs/>
                <w:color w:val="000000"/>
                <w:sz w:val="24"/>
              </w:rPr>
              <w:t>2010 г.</w:t>
            </w:r>
          </w:p>
        </w:tc>
      </w:tr>
      <w:tr w:rsidR="004C20D5">
        <w:trPr>
          <w:trHeight w:val="375"/>
          <w:jc w:val="center"/>
        </w:trPr>
        <w:tc>
          <w:tcPr>
            <w:tcW w:w="33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Пенсионное обеспечение</w:t>
            </w:r>
            <w:r>
              <w:rPr>
                <w:rFonts w:cs="Arial"/>
                <w:color w:val="000000"/>
                <w:sz w:val="24"/>
                <w:vertAlign w:val="superscript"/>
              </w:rPr>
              <w:t>1</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67,1</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67,6</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68,6</w:t>
            </w:r>
          </w:p>
        </w:tc>
      </w:tr>
      <w:tr w:rsidR="004C20D5">
        <w:trPr>
          <w:trHeight w:val="6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Социальное обслуживание населения</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1,5</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w:t>
            </w:r>
          </w:p>
        </w:tc>
      </w:tr>
      <w:tr w:rsidR="004C20D5">
        <w:trPr>
          <w:trHeight w:val="6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Социальное обеспечение населения</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30,1</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29,3</w:t>
            </w:r>
          </w:p>
        </w:tc>
      </w:tr>
      <w:tr w:rsidR="004C20D5">
        <w:trPr>
          <w:trHeight w:val="6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Охрана семьи, материнства и детства</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0,9</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0,7</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0,6</w:t>
            </w:r>
          </w:p>
        </w:tc>
      </w:tr>
      <w:tr w:rsidR="004C20D5">
        <w:trPr>
          <w:trHeight w:val="9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Прикладные научные исследования в области социальной политики</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0,05</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0,04</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0,03</w:t>
            </w:r>
          </w:p>
        </w:tc>
      </w:tr>
      <w:tr w:rsidR="004C20D5">
        <w:trPr>
          <w:trHeight w:val="6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Другие вопросы в области социальной политики</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0,5</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0,4</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0,4</w:t>
            </w:r>
          </w:p>
        </w:tc>
      </w:tr>
    </w:tbl>
    <w:p w:rsidR="004C20D5" w:rsidRDefault="004C20D5">
      <w:pPr>
        <w:jc w:val="center"/>
      </w:pPr>
    </w:p>
    <w:p w:rsidR="004C20D5" w:rsidRDefault="004C20D5">
      <w:r>
        <w:rPr>
          <w:vertAlign w:val="superscript"/>
        </w:rPr>
        <w:t xml:space="preserve">1 </w:t>
      </w:r>
      <w:r>
        <w:t>Основной объем ассигнований направляется на пенсии военнослужащим и лицам, приравненным к ним по пенсионному обеспечению и пожизненное содержание судей.</w:t>
      </w:r>
    </w:p>
    <w:p w:rsidR="004C20D5" w:rsidRDefault="004C20D5">
      <w:pPr>
        <w:jc w:val="right"/>
      </w:pPr>
      <w:r>
        <w:t>Таблица 8</w:t>
      </w:r>
    </w:p>
    <w:p w:rsidR="004C20D5" w:rsidRDefault="004C20D5">
      <w:pPr>
        <w:jc w:val="center"/>
      </w:pPr>
      <w:r>
        <w:t>Расходы по подразделу «Пенсионное обеспечение»</w:t>
      </w:r>
    </w:p>
    <w:tbl>
      <w:tblPr>
        <w:tblW w:w="7420" w:type="dxa"/>
        <w:jc w:val="center"/>
        <w:tblLook w:val="00A0" w:firstRow="1" w:lastRow="0" w:firstColumn="1" w:lastColumn="0" w:noHBand="0" w:noVBand="0"/>
      </w:tblPr>
      <w:tblGrid>
        <w:gridCol w:w="3380"/>
        <w:gridCol w:w="1420"/>
        <w:gridCol w:w="1360"/>
        <w:gridCol w:w="1260"/>
      </w:tblGrid>
      <w:tr w:rsidR="004C20D5">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420" w:type="dxa"/>
            <w:tcBorders>
              <w:top w:val="single" w:sz="4" w:space="0" w:color="auto"/>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2008 г.</w:t>
            </w:r>
          </w:p>
        </w:tc>
        <w:tc>
          <w:tcPr>
            <w:tcW w:w="1360" w:type="dxa"/>
            <w:tcBorders>
              <w:top w:val="single" w:sz="4" w:space="0" w:color="auto"/>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2009 г.</w:t>
            </w:r>
          </w:p>
        </w:tc>
        <w:tc>
          <w:tcPr>
            <w:tcW w:w="1260" w:type="dxa"/>
            <w:tcBorders>
              <w:top w:val="single" w:sz="4" w:space="0" w:color="auto"/>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2010 г.</w:t>
            </w:r>
          </w:p>
        </w:tc>
      </w:tr>
      <w:tr w:rsidR="004C20D5">
        <w:trPr>
          <w:trHeight w:val="615"/>
          <w:jc w:val="center"/>
        </w:trPr>
        <w:tc>
          <w:tcPr>
            <w:tcW w:w="3380" w:type="dxa"/>
            <w:tcBorders>
              <w:top w:val="nil"/>
              <w:left w:val="single" w:sz="4" w:space="0" w:color="auto"/>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Общий объем ассигнований (млрд. руб.)</w:t>
            </w:r>
          </w:p>
        </w:tc>
        <w:tc>
          <w:tcPr>
            <w:tcW w:w="1420" w:type="dxa"/>
            <w:tcBorders>
              <w:top w:val="nil"/>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183,2</w:t>
            </w:r>
          </w:p>
        </w:tc>
        <w:tc>
          <w:tcPr>
            <w:tcW w:w="1360" w:type="dxa"/>
            <w:tcBorders>
              <w:top w:val="nil"/>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245</w:t>
            </w:r>
          </w:p>
        </w:tc>
        <w:tc>
          <w:tcPr>
            <w:tcW w:w="1260" w:type="dxa"/>
            <w:tcBorders>
              <w:top w:val="nil"/>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293,5</w:t>
            </w:r>
          </w:p>
        </w:tc>
      </w:tr>
      <w:tr w:rsidR="004C20D5">
        <w:trPr>
          <w:trHeight w:val="615"/>
          <w:jc w:val="center"/>
        </w:trPr>
        <w:tc>
          <w:tcPr>
            <w:tcW w:w="3380" w:type="dxa"/>
            <w:tcBorders>
              <w:top w:val="nil"/>
              <w:left w:val="single" w:sz="4" w:space="0" w:color="auto"/>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Рост к уровню предыдущего года (%)</w:t>
            </w:r>
          </w:p>
        </w:tc>
        <w:tc>
          <w:tcPr>
            <w:tcW w:w="1420" w:type="dxa"/>
            <w:tcBorders>
              <w:top w:val="nil"/>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111,6</w:t>
            </w:r>
          </w:p>
        </w:tc>
        <w:tc>
          <w:tcPr>
            <w:tcW w:w="1360" w:type="dxa"/>
            <w:tcBorders>
              <w:top w:val="nil"/>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133,9</w:t>
            </w:r>
          </w:p>
        </w:tc>
        <w:tc>
          <w:tcPr>
            <w:tcW w:w="1260" w:type="dxa"/>
            <w:tcBorders>
              <w:top w:val="nil"/>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119,8</w:t>
            </w:r>
          </w:p>
        </w:tc>
      </w:tr>
    </w:tbl>
    <w:p w:rsidR="004C20D5" w:rsidRDefault="004C20D5"/>
    <w:p w:rsidR="004C20D5" w:rsidRDefault="004C20D5">
      <w:pPr>
        <w:ind w:firstLine="720"/>
      </w:pPr>
      <w:r>
        <w:t>По подразделу «Социальное обеспечение населения» ассигнования федерального бюджета на 2008,2009,2010 годы имеют достаточно устойчивую динамику (см. таблицу  9).</w:t>
      </w:r>
    </w:p>
    <w:p w:rsidR="004C20D5" w:rsidRDefault="004C20D5">
      <w:pPr>
        <w:jc w:val="right"/>
      </w:pPr>
      <w:r>
        <w:t>Таблица 9</w:t>
      </w:r>
    </w:p>
    <w:p w:rsidR="004C20D5" w:rsidRDefault="004C20D5">
      <w:pPr>
        <w:jc w:val="center"/>
      </w:pPr>
      <w:r>
        <w:t>Расходы по подразделу «Социальное обеспечение населения»  на 2008 год и на плановый период 2009 и 2010 годов</w:t>
      </w:r>
    </w:p>
    <w:tbl>
      <w:tblPr>
        <w:tblW w:w="7420" w:type="dxa"/>
        <w:jc w:val="center"/>
        <w:tblLook w:val="00A0" w:firstRow="1" w:lastRow="0" w:firstColumn="1" w:lastColumn="0" w:noHBand="0" w:noVBand="0"/>
      </w:tblPr>
      <w:tblGrid>
        <w:gridCol w:w="3380"/>
        <w:gridCol w:w="1420"/>
        <w:gridCol w:w="1360"/>
        <w:gridCol w:w="1260"/>
      </w:tblGrid>
      <w:tr w:rsidR="004C20D5">
        <w:trPr>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w:t>
            </w:r>
          </w:p>
        </w:tc>
        <w:tc>
          <w:tcPr>
            <w:tcW w:w="142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2008 г.</w:t>
            </w:r>
          </w:p>
        </w:tc>
        <w:tc>
          <w:tcPr>
            <w:tcW w:w="13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2009 г.</w:t>
            </w:r>
          </w:p>
        </w:tc>
        <w:tc>
          <w:tcPr>
            <w:tcW w:w="1260" w:type="dxa"/>
            <w:tcBorders>
              <w:top w:val="single" w:sz="4" w:space="0" w:color="000000"/>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2010 г.</w:t>
            </w:r>
          </w:p>
        </w:tc>
      </w:tr>
      <w:tr w:rsidR="004C20D5">
        <w:trPr>
          <w:trHeight w:val="6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Общий объем ассигнований (млрд. руб.)</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81,9</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109</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125,1</w:t>
            </w:r>
          </w:p>
        </w:tc>
      </w:tr>
      <w:tr w:rsidR="004C20D5">
        <w:trPr>
          <w:trHeight w:val="615"/>
          <w:jc w:val="center"/>
        </w:trPr>
        <w:tc>
          <w:tcPr>
            <w:tcW w:w="338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Рост к уровню предыдущего года (%)</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 раза</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133,1</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114,8</w:t>
            </w:r>
          </w:p>
        </w:tc>
      </w:tr>
    </w:tbl>
    <w:p w:rsidR="004C20D5" w:rsidRDefault="004C20D5">
      <w:pPr>
        <w:jc w:val="left"/>
      </w:pPr>
    </w:p>
    <w:p w:rsidR="004C20D5" w:rsidRDefault="004C20D5">
      <w:pPr>
        <w:ind w:firstLine="720"/>
      </w:pPr>
      <w:r>
        <w:t>В составе расходов указанного подраздела предусмотрены ассигнования на:</w:t>
      </w:r>
    </w:p>
    <w:p w:rsidR="004C20D5" w:rsidRDefault="004C20D5">
      <w:pPr>
        <w:pStyle w:val="13"/>
        <w:numPr>
          <w:ilvl w:val="0"/>
          <w:numId w:val="12"/>
        </w:numPr>
      </w:pPr>
      <w:r>
        <w:t>реализацию мер по реформированию системы оплаты труда работников федеральных бюджетных учреждений в объемах, указанных выше. Удельный вес этих ассигнований в структуре расходов подраздела на 2008-2010 годы составляет соответственно 20,6%, 42,3% и 41,1%;</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реализацию основных мероприятий приоритетного национального проекта «Доступное и комфортное жилье - гражданам России» в рамках федеральной целевой программы «Жилище» на 2002-2010 годы в 2008 году - в сумме 35,6 млрд. рублей, в 2009 году - в сумме 38,8 млрд. рублей, в 2010 году - в сумме 47,5 млрд. рублей;</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предоставление мер социальной поддержки гражданам, подвергшимся воздействию радиации вследствие радиационных аварий и ядерных испытаний (более 1,6 млн. человек), с учетом индексации исходя из уровня инфляции в 2008 году - в сумме 5,43 млрд. рублей, в 2009 году - в сумме 5,93 млрд. рублей, в 2010 году - в сумме 6,31 млрд. рублей;</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выплату компенсаций в возмещение вреда гражданам, подвергшимся воздействию радиации вследствие радиационных аварий (более 50 тыс. человек), с учетом индексации размеров указанных выплат исходя из уровня инфляции, а также средств, необходимых для осуществления компенсационных выплат указанной категории граждан в размерах, установленных на основании судебных решений, осуществляемых Рострудом в 2008 году - 5,51 млрд. рублей, в 2009 году - 5,88 млрд. рублей, в 2010 году - 6,26 млрд. рублей (общий объем ассигнований на указанные цепи с учетом средств, предусмотренных ведомствам «силового блока», составляет: в 2008 году - 6,84 млрд. рублей, в 2009 году - 7,21 млрд. рублей, в 2010 году - 7,62 млрд. рублей);</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выплату единовременных денежных компенсаций реабилитированным лицам (более 37 тыс. человек), - по 371,6 млн. рублей ежегодно;</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выплату компенсации безработным гражданам (более 700 тыс. человек) материальных затрат в связи с направлением на работу или обучение в другую местность, - по 10,0 млн. рублей ежегодно;</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обеспечение ремонта более 3 тыс. индивидуальных жилых домов, принадлежащих членам семей военнослужащих, потерявших кормильца, - по 700,0 млн. рублей ежегодно;</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выплат пособий и компенсаций военнослужащим, приравненным к ним лицам, а также уволенным из их числа в 2008 году - 8,49 млрд. рублей, в 2009 году - 1,03 млрд. рублей, в 2010 году - 1,1 млрд. рублей;</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выплату дополнительного ежемесячного материального обеспечения некоторым категориям граждан в связи 60-летием Победы в Великой Отечественной войне 1941-1945 годов (Указ Президента Российской Федерации от 30 марта 2005 года № 363), - по 1,46 млрд. рублей ежегодно;</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выплату дополнительного ежемесячного материального обеспечения инвалидам вследствие военной травмы (Указ Президента Российской Федерации от 1 августа 2005 года № 887) в 2008 году - 195,6 млн. рублей, в 2009 году - 196,0 млн. рублей, в 2010 году - 197,5 млн. рублей;</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выплат компенсаций членам семей погибших (умерших) военнослужащих и сотрудников некоторых федеральных органов исполнительной власти (46 тыс. семей) в связи с расходами по оплате жилых помещений, коммунальных и других видов услуг в соответствии с постановлением Правительства Российской Федерации от 2 августа 2005 года № 475 в 2008 году - 1,66 млрд. рублей, в 2009 году -1,73 млрд. рублей, в 2010 году - 1,8 млрд. рублей;</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ежемесячные денежные выплаты женам граждан, призванных на военную службу в 2008 году - 1,59 млрд. рублей, в 2009 году - 1,69 млрд. рублей, в 2010 году - 1,8 млрд. рублей;</w:t>
      </w:r>
    </w:p>
    <w:p w:rsidR="004C20D5" w:rsidRDefault="004C20D5">
      <w:pPr>
        <w:widowControl/>
        <w:numPr>
          <w:ilvl w:val="0"/>
          <w:numId w:val="12"/>
        </w:numPr>
        <w:autoSpaceDE/>
        <w:autoSpaceDN/>
        <w:adjustRightInd/>
        <w:spacing w:before="100" w:beforeAutospacing="1" w:after="100" w:afterAutospacing="1" w:line="240" w:lineRule="auto"/>
        <w:ind w:left="0"/>
        <w:jc w:val="left"/>
        <w:rPr>
          <w:rFonts w:ascii="Times New Roman" w:hAnsi="Times New Roman"/>
          <w:sz w:val="24"/>
        </w:rPr>
      </w:pPr>
      <w:r>
        <w:rPr>
          <w:rFonts w:ascii="Times New Roman" w:hAnsi="Times New Roman"/>
          <w:sz w:val="24"/>
        </w:rPr>
        <w:t>обеспечение инвалидов транспортными средствами (более 6 тыс. человек) в 2008 году - 885,1 млн. рублей (105,9% к уровню 2007 года), в 2009 году - 935,4 1 млн. рублей (105,6% к уровню 2008 года), в 2010 году - 985,21 млн. рублей (105,3% к уровню 2009 года).</w:t>
      </w:r>
    </w:p>
    <w:p w:rsidR="004C20D5" w:rsidRDefault="004C20D5">
      <w:pPr>
        <w:ind w:firstLine="720"/>
      </w:pPr>
      <w:r>
        <w:t>Следует обратить внимание на крайне недостаточное финансирование расходов по обеспечению инвалидов транспортными средствами, осуществляемые в соответствии с ранее принятыми федеральными обязательствами, что имеет место на протяжении последних четырех лет. Общая численность инвалидов, имеющих право на бесплатное получение транспортного средства составляет более 140 тыс. человек. Однако ассигнования федерального бюджета на указанные цели, даже с учетом их незначительного увеличения в 2007 году и планируемых объемов на 2008-2010 годы, выделяются в три раза ниже уровня 2004 года (2,5 млрд. рублей). Это приводит к фактическому «замораживанию» обязательств государства перед самыми социально незащищенными категориями граждан.</w:t>
      </w:r>
    </w:p>
    <w:p w:rsidR="004C20D5" w:rsidRDefault="004C20D5">
      <w:pPr>
        <w:ind w:firstLine="720"/>
      </w:pPr>
      <w:r>
        <w:t>В этой связи целесообразно существенно увеличить ассигнования на указанные виды расходов.</w:t>
      </w:r>
    </w:p>
    <w:p w:rsidR="004C20D5" w:rsidRDefault="004C20D5">
      <w:pPr>
        <w:pStyle w:val="2"/>
        <w:keepNext w:val="0"/>
        <w:numPr>
          <w:ilvl w:val="0"/>
          <w:numId w:val="2"/>
        </w:numPr>
        <w:ind w:left="0" w:firstLine="0"/>
        <w:jc w:val="both"/>
        <w:rPr>
          <w:rStyle w:val="FontStyle11"/>
          <w:rFonts w:ascii="Arial" w:hAnsi="Arial" w:cs="Arial"/>
          <w:sz w:val="28"/>
          <w:szCs w:val="28"/>
        </w:rPr>
      </w:pPr>
      <w:bookmarkStart w:id="6" w:name="_Toc250362900"/>
      <w:r>
        <w:rPr>
          <w:rStyle w:val="FontStyle11"/>
          <w:rFonts w:ascii="Arial" w:hAnsi="Arial" w:cs="Arial"/>
          <w:sz w:val="28"/>
          <w:szCs w:val="28"/>
        </w:rPr>
        <w:t>Проведите анализ динамики и структуры расходов бюджетной системы РФ на социально-культурную программу.</w:t>
      </w:r>
      <w:bookmarkEnd w:id="6"/>
    </w:p>
    <w:p w:rsidR="004C20D5" w:rsidRDefault="004C20D5">
      <w:pPr>
        <w:autoSpaceDE/>
        <w:adjustRightInd/>
        <w:ind w:firstLine="720"/>
        <w:rPr>
          <w:bCs/>
        </w:rPr>
      </w:pPr>
      <w:r>
        <w:rPr>
          <w:bCs/>
          <w:szCs w:val="28"/>
        </w:rPr>
        <w:t>Общий объем расходов федерального бюджета на 2008 год определен на уровне 6570,3 млрд. рублей (18,8% ВВП), на 2009 год – 7465,4 млрд. рублей (18,8% ВВП), на 2010 год – 8089 млрд. рублей (18,1% ВВП). В номинальном выражении темпы роста бюджетных расходов к предыдущему году составят в 2008 году - 117,0%, в 2009 году - 113,4%, в 2010 году – 108,6%, в реальном выражении – соответственно 109,3%, 106,4% и 102,5%.</w:t>
      </w:r>
    </w:p>
    <w:p w:rsidR="004C20D5" w:rsidRDefault="004C20D5">
      <w:pPr>
        <w:autoSpaceDE/>
        <w:adjustRightInd/>
        <w:ind w:firstLine="720"/>
        <w:rPr>
          <w:bCs/>
          <w:szCs w:val="28"/>
        </w:rPr>
      </w:pPr>
      <w:r>
        <w:rPr>
          <w:bCs/>
          <w:szCs w:val="28"/>
        </w:rPr>
        <w:t>Таким образом, при формировании федерального бюджета на 2008, 2009, 2010 годы в соответствии с Бюджетным посланием Президента Российской Федерации соблюден принцип адекватности реальных темпов роста бюджетных расходов темпам роста экономики.</w:t>
      </w:r>
    </w:p>
    <w:p w:rsidR="004C20D5" w:rsidRDefault="004C20D5">
      <w:pPr>
        <w:autoSpaceDE/>
        <w:adjustRightInd/>
        <w:rPr>
          <w:bCs/>
          <w:szCs w:val="28"/>
        </w:rPr>
      </w:pPr>
      <w:r>
        <w:rPr>
          <w:bCs/>
          <w:szCs w:val="28"/>
        </w:rPr>
        <w:t>Структура расходов федерального бюджета на социальные цели остается достаточно стабильной (см. таблицу 10).</w:t>
      </w:r>
    </w:p>
    <w:p w:rsidR="004C20D5" w:rsidRDefault="004C20D5">
      <w:pPr>
        <w:autoSpaceDE/>
        <w:adjustRightInd/>
        <w:jc w:val="right"/>
        <w:rPr>
          <w:bCs/>
          <w:szCs w:val="28"/>
        </w:rPr>
      </w:pPr>
      <w:r>
        <w:rPr>
          <w:bCs/>
          <w:szCs w:val="28"/>
        </w:rPr>
        <w:t>Таблица 10</w:t>
      </w:r>
    </w:p>
    <w:p w:rsidR="004C20D5" w:rsidRDefault="004C20D5">
      <w:pPr>
        <w:autoSpaceDE/>
        <w:adjustRightInd/>
        <w:jc w:val="center"/>
        <w:rPr>
          <w:bCs/>
          <w:szCs w:val="28"/>
        </w:rPr>
      </w:pPr>
      <w:r>
        <w:rPr>
          <w:bCs/>
          <w:szCs w:val="28"/>
        </w:rPr>
        <w:t>Структура социальных расходов проекта федерального бюджета  в 2008-2010 годах</w:t>
      </w:r>
    </w:p>
    <w:tbl>
      <w:tblPr>
        <w:tblW w:w="7280" w:type="dxa"/>
        <w:jc w:val="center"/>
        <w:tblLook w:val="00A0" w:firstRow="1" w:lastRow="0" w:firstColumn="1" w:lastColumn="0" w:noHBand="0" w:noVBand="0"/>
      </w:tblPr>
      <w:tblGrid>
        <w:gridCol w:w="7280"/>
        <w:gridCol w:w="1420"/>
        <w:gridCol w:w="1360"/>
        <w:gridCol w:w="1260"/>
        <w:gridCol w:w="1180"/>
      </w:tblGrid>
      <w:tr w:rsidR="004C20D5">
        <w:trPr>
          <w:trHeight w:val="315"/>
          <w:jc w:val="center"/>
        </w:trPr>
        <w:tc>
          <w:tcPr>
            <w:tcW w:w="2060" w:type="dxa"/>
            <w:tcBorders>
              <w:top w:val="single" w:sz="4" w:space="0" w:color="auto"/>
              <w:left w:val="single" w:sz="4" w:space="0" w:color="auto"/>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w:t>
            </w:r>
          </w:p>
        </w:tc>
        <w:tc>
          <w:tcPr>
            <w:tcW w:w="1420" w:type="dxa"/>
            <w:tcBorders>
              <w:top w:val="single" w:sz="4" w:space="0" w:color="auto"/>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2007</w:t>
            </w:r>
          </w:p>
        </w:tc>
        <w:tc>
          <w:tcPr>
            <w:tcW w:w="1360" w:type="dxa"/>
            <w:tcBorders>
              <w:top w:val="single" w:sz="4" w:space="0" w:color="auto"/>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2008</w:t>
            </w:r>
          </w:p>
        </w:tc>
        <w:tc>
          <w:tcPr>
            <w:tcW w:w="1260" w:type="dxa"/>
            <w:tcBorders>
              <w:top w:val="single" w:sz="4" w:space="0" w:color="auto"/>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2009</w:t>
            </w:r>
          </w:p>
        </w:tc>
        <w:tc>
          <w:tcPr>
            <w:tcW w:w="1180" w:type="dxa"/>
            <w:tcBorders>
              <w:top w:val="single" w:sz="4" w:space="0" w:color="auto"/>
              <w:left w:val="nil"/>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2010</w:t>
            </w:r>
          </w:p>
        </w:tc>
      </w:tr>
      <w:tr w:rsidR="004C20D5">
        <w:trPr>
          <w:trHeight w:val="315"/>
          <w:jc w:val="center"/>
        </w:trPr>
        <w:tc>
          <w:tcPr>
            <w:tcW w:w="728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Расходы, всего</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5463,5</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6570,3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7451,2</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8089,9</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 всего</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2007 году (бюджет)</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120,3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136,4</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148,1</w:t>
            </w:r>
          </w:p>
        </w:tc>
      </w:tr>
      <w:tr w:rsidR="004C20D5">
        <w:trPr>
          <w:trHeight w:val="315"/>
          <w:jc w:val="center"/>
        </w:trPr>
        <w:tc>
          <w:tcPr>
            <w:tcW w:w="728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Расходы всего, без условно утвержденных</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5463,5</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6570,3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7264,9</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7685,4</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97,5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95</w:t>
            </w:r>
          </w:p>
        </w:tc>
      </w:tr>
      <w:tr w:rsidR="004C20D5">
        <w:trPr>
          <w:trHeight w:val="315"/>
          <w:jc w:val="center"/>
        </w:trPr>
        <w:tc>
          <w:tcPr>
            <w:tcW w:w="728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Жилищно-коммунальное хозяйство</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53</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56,9</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79,2</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71</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 всего</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0,9</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0,9</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2007 году</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107,4</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149,4</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133,9</w:t>
            </w:r>
          </w:p>
        </w:tc>
      </w:tr>
      <w:tr w:rsidR="004C20D5">
        <w:trPr>
          <w:trHeight w:val="315"/>
          <w:jc w:val="center"/>
        </w:trPr>
        <w:tc>
          <w:tcPr>
            <w:tcW w:w="728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Образование</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277,9</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309</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315,5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341,1</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 всего</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5,1</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4,7</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4,3</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4,4</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2007 году</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111,2</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113,5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122,7</w:t>
            </w:r>
          </w:p>
        </w:tc>
      </w:tr>
      <w:tr w:rsidR="004C20D5">
        <w:trPr>
          <w:trHeight w:val="315"/>
          <w:jc w:val="center"/>
        </w:trPr>
        <w:tc>
          <w:tcPr>
            <w:tcW w:w="728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Культура, кинематография и средства массовой информации</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67,8</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82,7</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70,2</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67,5</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 всего</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0,9</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2007 году</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122</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103,5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99,6</w:t>
            </w:r>
          </w:p>
        </w:tc>
      </w:tr>
      <w:tr w:rsidR="004C20D5">
        <w:trPr>
          <w:trHeight w:val="315"/>
          <w:jc w:val="center"/>
        </w:trPr>
        <w:tc>
          <w:tcPr>
            <w:tcW w:w="728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Здравоохранение, физическая культура и спорт</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206,4</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218,3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234,2</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274,6</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 всего</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3,8</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3,2</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3,6</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2007 году</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105,8</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113,5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133,1</w:t>
            </w:r>
          </w:p>
        </w:tc>
      </w:tr>
      <w:tr w:rsidR="004C20D5">
        <w:trPr>
          <w:trHeight w:val="315"/>
          <w:jc w:val="center"/>
        </w:trPr>
        <w:tc>
          <w:tcPr>
            <w:tcW w:w="728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Социальная политика</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215,6</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273</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362,4</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427,5</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 всего</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3,9</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4,1</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5,6</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2007 году</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126,6</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168,1</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198,3</w:t>
            </w:r>
          </w:p>
        </w:tc>
      </w:tr>
      <w:tr w:rsidR="004C20D5">
        <w:trPr>
          <w:trHeight w:val="315"/>
          <w:jc w:val="center"/>
        </w:trPr>
        <w:tc>
          <w:tcPr>
            <w:tcW w:w="728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Межбюджетные трансферты</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1844,3</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2272,4</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2421</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2715,6</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 всего</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33,8</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34,6</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33,3</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35,3</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2007 году</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100</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123,2</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131,3</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147,2</w:t>
            </w:r>
          </w:p>
        </w:tc>
      </w:tr>
      <w:tr w:rsidR="004C20D5">
        <w:trPr>
          <w:trHeight w:val="315"/>
          <w:jc w:val="center"/>
        </w:trPr>
        <w:tc>
          <w:tcPr>
            <w:tcW w:w="728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b/>
                <w:bCs/>
                <w:color w:val="000000"/>
                <w:sz w:val="24"/>
              </w:rPr>
            </w:pPr>
            <w:r>
              <w:rPr>
                <w:rFonts w:cs="Arial"/>
                <w:b/>
                <w:bCs/>
                <w:color w:val="000000"/>
                <w:sz w:val="24"/>
              </w:rPr>
              <w:t>Условно утвержденные расходы</w:t>
            </w:r>
          </w:p>
        </w:tc>
      </w:tr>
      <w:tr w:rsidR="004C20D5">
        <w:trPr>
          <w:trHeight w:val="3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Млрд. рублей</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186,3</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404,5</w:t>
            </w:r>
          </w:p>
        </w:tc>
      </w:tr>
      <w:tr w:rsidR="004C20D5">
        <w:trPr>
          <w:trHeight w:val="615"/>
          <w:jc w:val="center"/>
        </w:trPr>
        <w:tc>
          <w:tcPr>
            <w:tcW w:w="2060" w:type="dxa"/>
            <w:tcBorders>
              <w:top w:val="nil"/>
              <w:left w:val="single" w:sz="4" w:space="0" w:color="000000"/>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left"/>
              <w:rPr>
                <w:rFonts w:cs="Arial"/>
                <w:color w:val="000000"/>
                <w:sz w:val="24"/>
              </w:rPr>
            </w:pPr>
            <w:r>
              <w:rPr>
                <w:rFonts w:cs="Arial"/>
                <w:color w:val="000000"/>
                <w:sz w:val="24"/>
              </w:rPr>
              <w:t>% к расходам, всего</w:t>
            </w:r>
          </w:p>
        </w:tc>
        <w:tc>
          <w:tcPr>
            <w:tcW w:w="142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3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 </w:t>
            </w:r>
          </w:p>
        </w:tc>
        <w:tc>
          <w:tcPr>
            <w:tcW w:w="126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2,5</w:t>
            </w:r>
          </w:p>
        </w:tc>
        <w:tc>
          <w:tcPr>
            <w:tcW w:w="1180" w:type="dxa"/>
            <w:tcBorders>
              <w:top w:val="nil"/>
              <w:left w:val="nil"/>
              <w:bottom w:val="single" w:sz="4" w:space="0" w:color="000000"/>
              <w:right w:val="single" w:sz="4" w:space="0" w:color="000000"/>
            </w:tcBorders>
            <w:shd w:val="clear" w:color="auto" w:fill="FFFFFF"/>
            <w:vAlign w:val="bottom"/>
          </w:tcPr>
          <w:p w:rsidR="004C20D5" w:rsidRDefault="004C20D5">
            <w:pPr>
              <w:widowControl/>
              <w:autoSpaceDE/>
              <w:adjustRightInd/>
              <w:spacing w:line="240" w:lineRule="auto"/>
              <w:jc w:val="center"/>
              <w:rPr>
                <w:rFonts w:cs="Arial"/>
                <w:color w:val="000000"/>
                <w:sz w:val="24"/>
              </w:rPr>
            </w:pPr>
            <w:r>
              <w:rPr>
                <w:rFonts w:cs="Arial"/>
                <w:color w:val="000000"/>
                <w:sz w:val="24"/>
              </w:rPr>
              <w:t>5</w:t>
            </w:r>
          </w:p>
        </w:tc>
      </w:tr>
    </w:tbl>
    <w:p w:rsidR="004C20D5" w:rsidRDefault="004C20D5">
      <w:pPr>
        <w:autoSpaceDE/>
        <w:adjustRightInd/>
        <w:jc w:val="center"/>
        <w:rPr>
          <w:bCs/>
          <w:szCs w:val="28"/>
        </w:rPr>
      </w:pPr>
    </w:p>
    <w:p w:rsidR="004C20D5" w:rsidRDefault="004C20D5">
      <w:pPr>
        <w:autoSpaceDE/>
        <w:adjustRightInd/>
        <w:ind w:firstLine="720"/>
        <w:rPr>
          <w:bCs/>
          <w:szCs w:val="28"/>
        </w:rPr>
      </w:pPr>
      <w:r>
        <w:rPr>
          <w:bCs/>
          <w:szCs w:val="28"/>
        </w:rPr>
        <w:t xml:space="preserve">Приоритеты и параметры проекта бюджета 2008-2010 годов в основном соответствуют задачам, поставленным Президентом России в Бюджетном послании. Бюджеты 2008, 2009, 2010 годов сохраняют позитивные черты социальной части федерального бюджета 2007 года. </w:t>
      </w:r>
    </w:p>
    <w:p w:rsidR="004C20D5" w:rsidRDefault="004C20D5">
      <w:pPr>
        <w:autoSpaceDE/>
        <w:adjustRightInd/>
        <w:ind w:firstLine="720"/>
        <w:rPr>
          <w:bCs/>
          <w:szCs w:val="28"/>
        </w:rPr>
      </w:pPr>
      <w:r>
        <w:rPr>
          <w:bCs/>
          <w:szCs w:val="28"/>
        </w:rPr>
        <w:t>Совокупные расходы на социальные отрасли и социальную политику составят в 2008 году 940 млрд. рублей, что будет соответствовать 2,7% ВВП, или 14,4% от всех расходов федерального бюджета. Эта величина за трехлетний период возрастет на 44% (по отношению к 2007 году) при расчетах в текущих ценах, или на 18% в реальном выражении (с учетом инфляции). В то же время, представленные расходы по годам практически сохранят свою долю в ВВП – 2,7% и в расходах федерального бюджета – 14,2-14,6%.</w:t>
      </w:r>
    </w:p>
    <w:p w:rsidR="004C20D5" w:rsidRDefault="004C20D5">
      <w:pPr>
        <w:autoSpaceDE/>
        <w:adjustRightInd/>
        <w:ind w:firstLine="720"/>
        <w:rPr>
          <w:bCs/>
          <w:szCs w:val="28"/>
        </w:rPr>
      </w:pPr>
      <w:r>
        <w:rPr>
          <w:bCs/>
          <w:szCs w:val="28"/>
        </w:rPr>
        <w:t>Низкий уровень социальных расходов в федеральном бюджете определяется тем фактом, что подавляющая их часть обеспечивается с помощью территориальных бюджетов: 76% на образование и здравоохранение, более 90% на ЖКХ и более 70% на социальную политику. Учитывая эти доли расходов, можно оценить величину затрат на социальную сферу в консолидированном бюджете на уровне  11,2-11,7% ВВП. Если прибавить к ним межбюджетные трансферты на социальные цели и трансферты государственным внебюджетным фондам, то совокупная величина на социальные цели в консолидированном бюджете составит величину равную 17-18% ВВП.</w:t>
      </w:r>
      <w:r>
        <w:rPr>
          <w:bCs/>
          <w:szCs w:val="28"/>
        </w:rPr>
        <w:br w:type="page"/>
      </w:r>
    </w:p>
    <w:p w:rsidR="004C20D5" w:rsidRDefault="004C20D5">
      <w:pPr>
        <w:pStyle w:val="1"/>
      </w:pPr>
      <w:bookmarkStart w:id="7" w:name="_Toc250362901"/>
      <w:r>
        <w:t>Список литературы:</w:t>
      </w:r>
      <w:bookmarkEnd w:id="7"/>
    </w:p>
    <w:p w:rsidR="004C20D5" w:rsidRDefault="004C20D5">
      <w:pPr>
        <w:pStyle w:val="13"/>
        <w:numPr>
          <w:ilvl w:val="0"/>
          <w:numId w:val="14"/>
        </w:numPr>
        <w:tabs>
          <w:tab w:val="left" w:pos="720"/>
        </w:tabs>
        <w:ind w:left="0" w:firstLine="0"/>
        <w:rPr>
          <w:bCs/>
          <w:szCs w:val="28"/>
        </w:rPr>
      </w:pPr>
      <w:r>
        <w:rPr>
          <w:bCs/>
          <w:szCs w:val="28"/>
        </w:rPr>
        <w:t xml:space="preserve">Закон «О федеральном бюджете на 2007 год» </w:t>
      </w:r>
    </w:p>
    <w:p w:rsidR="004C20D5" w:rsidRDefault="004C20D5">
      <w:pPr>
        <w:widowControl/>
        <w:numPr>
          <w:ilvl w:val="0"/>
          <w:numId w:val="14"/>
        </w:numPr>
        <w:tabs>
          <w:tab w:val="left" w:pos="720"/>
        </w:tabs>
        <w:autoSpaceDE/>
        <w:autoSpaceDN/>
        <w:adjustRightInd/>
        <w:spacing w:before="100" w:beforeAutospacing="1" w:after="100" w:afterAutospacing="1" w:line="240" w:lineRule="auto"/>
        <w:ind w:left="0" w:firstLine="0"/>
        <w:contextualSpacing/>
        <w:jc w:val="left"/>
        <w:rPr>
          <w:rFonts w:ascii="Times New Roman" w:hAnsi="Times New Roman"/>
          <w:bCs/>
          <w:sz w:val="24"/>
          <w:szCs w:val="28"/>
        </w:rPr>
      </w:pPr>
      <w:r>
        <w:rPr>
          <w:rFonts w:ascii="Times New Roman" w:hAnsi="Times New Roman"/>
          <w:bCs/>
          <w:sz w:val="24"/>
          <w:szCs w:val="28"/>
        </w:rPr>
        <w:t xml:space="preserve">Закон «О федеральном бюджете на 2008 год» </w:t>
      </w:r>
    </w:p>
    <w:p w:rsidR="004C20D5" w:rsidRDefault="004C20D5">
      <w:pPr>
        <w:widowControl/>
        <w:numPr>
          <w:ilvl w:val="0"/>
          <w:numId w:val="14"/>
        </w:numPr>
        <w:tabs>
          <w:tab w:val="left" w:pos="720"/>
        </w:tabs>
        <w:autoSpaceDE/>
        <w:autoSpaceDN/>
        <w:adjustRightInd/>
        <w:spacing w:before="100" w:beforeAutospacing="1" w:after="100" w:afterAutospacing="1" w:line="240" w:lineRule="auto"/>
        <w:ind w:left="0" w:firstLine="0"/>
        <w:contextualSpacing/>
        <w:jc w:val="left"/>
        <w:rPr>
          <w:rFonts w:ascii="Times New Roman" w:hAnsi="Times New Roman"/>
          <w:bCs/>
          <w:sz w:val="24"/>
          <w:szCs w:val="28"/>
        </w:rPr>
      </w:pPr>
      <w:r>
        <w:rPr>
          <w:rFonts w:ascii="Times New Roman" w:hAnsi="Times New Roman"/>
          <w:bCs/>
          <w:sz w:val="24"/>
          <w:szCs w:val="28"/>
        </w:rPr>
        <w:t>Закон «О федеральном бюджете на 2009 год»</w:t>
      </w:r>
    </w:p>
    <w:p w:rsidR="004C20D5" w:rsidRDefault="004C20D5">
      <w:pPr>
        <w:widowControl/>
        <w:numPr>
          <w:ilvl w:val="0"/>
          <w:numId w:val="14"/>
        </w:numPr>
        <w:tabs>
          <w:tab w:val="left" w:pos="720"/>
        </w:tabs>
        <w:autoSpaceDE/>
        <w:autoSpaceDN/>
        <w:adjustRightInd/>
        <w:spacing w:before="100" w:beforeAutospacing="1" w:after="100" w:afterAutospacing="1" w:line="240" w:lineRule="auto"/>
        <w:ind w:left="0" w:firstLine="0"/>
        <w:contextualSpacing/>
        <w:jc w:val="left"/>
        <w:rPr>
          <w:rFonts w:ascii="Times New Roman" w:hAnsi="Times New Roman"/>
          <w:bCs/>
          <w:sz w:val="24"/>
          <w:szCs w:val="28"/>
        </w:rPr>
      </w:pPr>
      <w:r>
        <w:rPr>
          <w:rFonts w:ascii="Times New Roman" w:hAnsi="Times New Roman"/>
          <w:bCs/>
          <w:sz w:val="24"/>
          <w:szCs w:val="28"/>
        </w:rPr>
        <w:t>Закон «О федеральном бюджете на 2009 год и на плановый период 2010 и 2011 годов»</w:t>
      </w:r>
    </w:p>
    <w:p w:rsidR="004C20D5" w:rsidRDefault="004C20D5">
      <w:pPr>
        <w:widowControl/>
        <w:numPr>
          <w:ilvl w:val="0"/>
          <w:numId w:val="14"/>
        </w:numPr>
        <w:tabs>
          <w:tab w:val="left" w:pos="720"/>
        </w:tabs>
        <w:autoSpaceDE/>
        <w:autoSpaceDN/>
        <w:adjustRightInd/>
        <w:spacing w:before="100" w:beforeAutospacing="1" w:after="100" w:afterAutospacing="1" w:line="240" w:lineRule="auto"/>
        <w:ind w:left="0" w:firstLine="0"/>
        <w:contextualSpacing/>
        <w:jc w:val="left"/>
        <w:rPr>
          <w:rFonts w:ascii="Times New Roman" w:hAnsi="Times New Roman"/>
          <w:bCs/>
          <w:sz w:val="24"/>
          <w:szCs w:val="28"/>
        </w:rPr>
      </w:pPr>
      <w:r>
        <w:rPr>
          <w:rFonts w:ascii="Times New Roman" w:hAnsi="Times New Roman"/>
          <w:bCs/>
          <w:sz w:val="24"/>
          <w:szCs w:val="28"/>
        </w:rPr>
        <w:t>«О бюджетной классификации Российской Федерации»</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Финансы, денежное обращение и кредит: Учебник / М. В. Романовский и др.; Под ред. М.В. Романовского, О.В. Врублевской. – М.: Юрайт-Издат,2004. – 544 с.</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Финансы: Учеб. пособие / Под ред. проф. А.М.Ковалевой. – 3-е изд., перераб. и доп. – М.: Финансы и статистика, 1998. – 384с.: ил.</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Бюджетная система Российской Федерации: Учебник / О.В.Врублевская и др.; Под ред. О.В.Врублевской, М.В. Романовского. – 3-е изд., испр. и перераб. – М.: Юрайт-Издат, 2004. – 838с.</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Вахрин П.И. Бюджетная система РФ: Учебник / Под ред. Вахрина П.И. – М.: Юрайт-Издат, 2003</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Поляка Г.Б. Бюджетная система России - М.: Финансы и статистика, 2000.</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Парыгина В.А. Бюджетная система РФ - М.: Финансы и статистика, 2001.</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Финансы. Бюджетная система РФ: /Под ред. Дробозиной Л.А. - М.: ЮНИТИ, 2003.</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Бабич А.М. Государственные и муниципальные финансы, 2001.</w:t>
      </w:r>
    </w:p>
    <w:p w:rsidR="004C20D5" w:rsidRDefault="004C20D5">
      <w:pPr>
        <w:pStyle w:val="a5"/>
        <w:widowControl w:val="0"/>
        <w:numPr>
          <w:ilvl w:val="0"/>
          <w:numId w:val="14"/>
        </w:numPr>
        <w:spacing w:before="0" w:beforeAutospacing="0" w:after="0" w:afterAutospacing="0" w:line="360" w:lineRule="auto"/>
        <w:ind w:left="0" w:firstLine="0"/>
        <w:jc w:val="both"/>
        <w:rPr>
          <w:rFonts w:ascii="Arial" w:hAnsi="Arial" w:cs="Arial"/>
          <w:sz w:val="28"/>
          <w:szCs w:val="28"/>
        </w:rPr>
      </w:pPr>
      <w:r>
        <w:rPr>
          <w:rFonts w:ascii="Arial" w:hAnsi="Arial" w:cs="Arial"/>
          <w:sz w:val="28"/>
          <w:szCs w:val="28"/>
        </w:rPr>
        <w:t>Финансы, денежное обращение и кредит. Учебное пособие/ Бабич А.М., Павлова Л.Н.-М.: Юнити, 2000.</w:t>
      </w:r>
      <w:bookmarkStart w:id="8" w:name="_GoBack"/>
      <w:bookmarkEnd w:id="8"/>
    </w:p>
    <w:sectPr w:rsidR="004C20D5">
      <w:headerReference w:type="default" r:id="rId7"/>
      <w:pgSz w:w="11907" w:h="1683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D5" w:rsidRDefault="004C20D5">
      <w:r>
        <w:separator/>
      </w:r>
    </w:p>
  </w:endnote>
  <w:endnote w:type="continuationSeparator" w:id="0">
    <w:p w:rsidR="004C20D5" w:rsidRDefault="004C2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D5" w:rsidRDefault="004C20D5">
      <w:r>
        <w:separator/>
      </w:r>
    </w:p>
  </w:footnote>
  <w:footnote w:type="continuationSeparator" w:id="0">
    <w:p w:rsidR="004C20D5" w:rsidRDefault="004C20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D5" w:rsidRDefault="004C20D5">
    <w:pPr>
      <w:pStyle w:val="a7"/>
      <w:jc w:val="right"/>
    </w:pPr>
    <w:r>
      <w:fldChar w:fldCharType="begin"/>
    </w:r>
    <w:r>
      <w:instrText xml:space="preserve"> PAGE   \* MERGEFORMAT </w:instrText>
    </w:r>
    <w:r>
      <w:fldChar w:fldCharType="separate"/>
    </w:r>
    <w:r>
      <w:rPr>
        <w:noProof/>
      </w:rPr>
      <w:t>1</w:t>
    </w:r>
    <w:r>
      <w:fldChar w:fldCharType="end"/>
    </w:r>
  </w:p>
  <w:p w:rsidR="004C20D5" w:rsidRDefault="004C20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148A"/>
    <w:multiLevelType w:val="hybridMultilevel"/>
    <w:tmpl w:val="1BDC21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A67366"/>
    <w:multiLevelType w:val="hybridMultilevel"/>
    <w:tmpl w:val="C60C4E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1728C0"/>
    <w:multiLevelType w:val="hybridMultilevel"/>
    <w:tmpl w:val="1CB6DD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5D601B"/>
    <w:multiLevelType w:val="hybridMultilevel"/>
    <w:tmpl w:val="01461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D80296"/>
    <w:multiLevelType w:val="hybridMultilevel"/>
    <w:tmpl w:val="ABF0A6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BF7EB3"/>
    <w:multiLevelType w:val="hybridMultilevel"/>
    <w:tmpl w:val="45588D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ABA06A4"/>
    <w:multiLevelType w:val="hybridMultilevel"/>
    <w:tmpl w:val="F98E75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0D5"/>
    <w:rsid w:val="000079C8"/>
    <w:rsid w:val="0037042E"/>
    <w:rsid w:val="004C20D5"/>
    <w:rsid w:val="00F1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8A1AE32-D28B-4548-9DFE-E3D8718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jc w:val="both"/>
    </w:pPr>
    <w:rPr>
      <w:rFonts w:ascii="Arial" w:hAnsi="Arial"/>
      <w:sz w:val="28"/>
      <w:szCs w:val="24"/>
    </w:rPr>
  </w:style>
  <w:style w:type="paragraph" w:styleId="1">
    <w:name w:val="heading 1"/>
    <w:basedOn w:val="a"/>
    <w:next w:val="a"/>
    <w:link w:val="10"/>
    <w:qFormat/>
    <w:pPr>
      <w:keepNext/>
      <w:jc w:val="center"/>
      <w:outlineLvl w:val="0"/>
    </w:pPr>
    <w:rPr>
      <w:b/>
      <w:bCs/>
      <w:kern w:val="32"/>
      <w:szCs w:val="32"/>
    </w:rPr>
  </w:style>
  <w:style w:type="paragraph" w:styleId="2">
    <w:name w:val="heading 2"/>
    <w:basedOn w:val="a"/>
    <w:next w:val="a"/>
    <w:link w:val="20"/>
    <w:qFormat/>
    <w:pPr>
      <w:keepNext/>
      <w:jc w:val="left"/>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ascii="Times New Roman" w:hAnsi="Times New Roman" w:cs="Times New Roman" w:hint="default"/>
      <w:color w:val="0066CC"/>
      <w:u w:val="single"/>
    </w:rPr>
  </w:style>
  <w:style w:type="character" w:styleId="a4">
    <w:name w:val="FollowedHyperlink"/>
    <w:basedOn w:val="a0"/>
    <w:rPr>
      <w:color w:val="800080"/>
      <w:u w:val="single"/>
    </w:rPr>
  </w:style>
  <w:style w:type="character" w:customStyle="1" w:styleId="10">
    <w:name w:val="Заголовок 1 Знак"/>
    <w:basedOn w:val="a0"/>
    <w:link w:val="1"/>
    <w:locked/>
    <w:rPr>
      <w:rFonts w:ascii="Arial" w:hAnsi="Arial" w:cs="Times New Roman" w:hint="default"/>
      <w:b/>
      <w:bCs/>
      <w:kern w:val="32"/>
      <w:sz w:val="32"/>
      <w:szCs w:val="32"/>
    </w:rPr>
  </w:style>
  <w:style w:type="character" w:customStyle="1" w:styleId="20">
    <w:name w:val="Заголовок 2 Знак"/>
    <w:basedOn w:val="a0"/>
    <w:link w:val="2"/>
    <w:locked/>
    <w:rPr>
      <w:rFonts w:ascii="Arial" w:hAnsi="Arial" w:cs="Times New Roman" w:hint="default"/>
      <w:b/>
      <w:bCs/>
      <w:iCs/>
      <w:sz w:val="28"/>
      <w:szCs w:val="28"/>
    </w:rPr>
  </w:style>
  <w:style w:type="paragraph" w:styleId="a5">
    <w:name w:val="Normal (Web)"/>
    <w:basedOn w:val="a"/>
    <w:pPr>
      <w:widowControl/>
      <w:autoSpaceDE/>
      <w:autoSpaceDN/>
      <w:adjustRightInd/>
      <w:spacing w:before="100" w:beforeAutospacing="1" w:after="100" w:afterAutospacing="1" w:line="240" w:lineRule="auto"/>
      <w:jc w:val="left"/>
    </w:pPr>
    <w:rPr>
      <w:rFonts w:ascii="Times New Roman" w:hAnsi="Times New Roman"/>
      <w:sz w:val="24"/>
    </w:rPr>
  </w:style>
  <w:style w:type="paragraph" w:styleId="11">
    <w:name w:val="toc 1"/>
    <w:basedOn w:val="a"/>
    <w:next w:val="a"/>
    <w:autoRedefine/>
    <w:pPr>
      <w:spacing w:after="100"/>
    </w:pPr>
  </w:style>
  <w:style w:type="paragraph" w:styleId="21">
    <w:name w:val="toc 2"/>
    <w:basedOn w:val="a"/>
    <w:next w:val="a"/>
    <w:autoRedefine/>
    <w:pPr>
      <w:spacing w:after="100"/>
      <w:ind w:left="280"/>
    </w:pPr>
  </w:style>
  <w:style w:type="character" w:customStyle="1" w:styleId="a6">
    <w:name w:val="Верхний колонтитул Знак"/>
    <w:basedOn w:val="a0"/>
    <w:link w:val="a7"/>
    <w:locked/>
    <w:rPr>
      <w:rFonts w:ascii="Arial" w:hAnsi="Arial" w:cs="Times New Roman" w:hint="default"/>
      <w:sz w:val="24"/>
      <w:szCs w:val="24"/>
    </w:rPr>
  </w:style>
  <w:style w:type="paragraph" w:styleId="a7">
    <w:name w:val="header"/>
    <w:basedOn w:val="a"/>
    <w:link w:val="a6"/>
    <w:pPr>
      <w:tabs>
        <w:tab w:val="center" w:pos="4677"/>
        <w:tab w:val="right" w:pos="9355"/>
      </w:tabs>
      <w:spacing w:line="240" w:lineRule="auto"/>
    </w:pPr>
  </w:style>
  <w:style w:type="character" w:customStyle="1" w:styleId="a8">
    <w:name w:val="Нижний колонтитул Знак"/>
    <w:basedOn w:val="a0"/>
    <w:link w:val="a9"/>
    <w:locked/>
    <w:rPr>
      <w:rFonts w:ascii="Arial" w:hAnsi="Arial" w:cs="Times New Roman" w:hint="default"/>
      <w:sz w:val="24"/>
      <w:szCs w:val="24"/>
    </w:rPr>
  </w:style>
  <w:style w:type="paragraph" w:styleId="a9">
    <w:name w:val="footer"/>
    <w:basedOn w:val="a"/>
    <w:link w:val="a8"/>
    <w:pPr>
      <w:tabs>
        <w:tab w:val="center" w:pos="4677"/>
        <w:tab w:val="right" w:pos="9355"/>
      </w:tabs>
      <w:spacing w:line="240" w:lineRule="auto"/>
    </w:pPr>
  </w:style>
  <w:style w:type="character" w:customStyle="1" w:styleId="aa">
    <w:name w:val="Текст выноски Знак"/>
    <w:basedOn w:val="a0"/>
    <w:link w:val="ab"/>
    <w:semiHidden/>
    <w:locked/>
    <w:rPr>
      <w:rFonts w:ascii="Tahoma" w:hAnsi="Tahoma" w:cs="Tahoma" w:hint="default"/>
      <w:sz w:val="16"/>
      <w:szCs w:val="16"/>
    </w:rPr>
  </w:style>
  <w:style w:type="paragraph" w:styleId="ab">
    <w:name w:val="Balloon Text"/>
    <w:basedOn w:val="a"/>
    <w:link w:val="aa"/>
    <w:semiHidden/>
    <w:pPr>
      <w:spacing w:line="240" w:lineRule="auto"/>
    </w:pPr>
    <w:rPr>
      <w:rFonts w:ascii="Tahoma" w:hAnsi="Tahoma" w:cs="Tahoma"/>
      <w:sz w:val="16"/>
      <w:szCs w:val="16"/>
    </w:rPr>
  </w:style>
  <w:style w:type="paragraph" w:customStyle="1" w:styleId="Style1">
    <w:name w:val="Style1"/>
    <w:basedOn w:val="a"/>
    <w:pPr>
      <w:spacing w:line="221" w:lineRule="exact"/>
      <w:ind w:hanging="240"/>
    </w:pPr>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12">
    <w:name w:val="Без интервала1"/>
    <w:pPr>
      <w:widowControl w:val="0"/>
      <w:autoSpaceDE w:val="0"/>
      <w:autoSpaceDN w:val="0"/>
      <w:adjustRightInd w:val="0"/>
      <w:spacing w:line="360" w:lineRule="auto"/>
      <w:jc w:val="both"/>
    </w:pPr>
    <w:rPr>
      <w:rFonts w:ascii="Arial" w:hAnsi="Arial"/>
      <w:sz w:val="28"/>
      <w:szCs w:val="24"/>
    </w:rPr>
  </w:style>
  <w:style w:type="paragraph" w:customStyle="1" w:styleId="13">
    <w:name w:val="Абзац списка1"/>
    <w:basedOn w:val="a"/>
    <w:pPr>
      <w:ind w:left="720"/>
      <w:contextualSpacing/>
    </w:pPr>
  </w:style>
  <w:style w:type="paragraph" w:customStyle="1" w:styleId="14">
    <w:name w:val="Заголовок оглавления1"/>
    <w:basedOn w:val="1"/>
    <w:next w:val="a"/>
    <w:semiHidden/>
    <w:pPr>
      <w:keepLines/>
      <w:widowControl/>
      <w:autoSpaceDE/>
      <w:autoSpaceDN/>
      <w:adjustRightInd/>
      <w:spacing w:before="480" w:line="276" w:lineRule="auto"/>
      <w:jc w:val="left"/>
      <w:outlineLvl w:val="9"/>
    </w:pPr>
    <w:rPr>
      <w:rFonts w:ascii="Cambria" w:hAnsi="Cambria"/>
      <w:color w:val="365F91"/>
      <w:kern w:val="0"/>
      <w:szCs w:val="28"/>
      <w:lang w:eastAsia="en-US"/>
    </w:rPr>
  </w:style>
  <w:style w:type="character" w:customStyle="1" w:styleId="FontStyle11">
    <w:name w:val="Font Style11"/>
    <w:basedOn w:val="a0"/>
    <w:rPr>
      <w:rFonts w:ascii="Times New Roman" w:hAnsi="Times New Roman" w:cs="Times New Roman" w:hint="default"/>
      <w:sz w:val="18"/>
      <w:szCs w:val="18"/>
    </w:rPr>
  </w:style>
  <w:style w:type="character" w:customStyle="1" w:styleId="FontStyle12">
    <w:name w:val="Font Style12"/>
    <w:basedOn w:val="a0"/>
    <w:rPr>
      <w:rFonts w:ascii="Times New Roman" w:hAnsi="Times New Roman" w:cs="Times New Roman" w:hint="default"/>
      <w:b/>
      <w:bCs/>
      <w:sz w:val="16"/>
      <w:szCs w:val="16"/>
    </w:rPr>
  </w:style>
  <w:style w:type="character" w:customStyle="1" w:styleId="FontStyle13">
    <w:name w:val="Font Style13"/>
    <w:basedOn w:val="a0"/>
    <w:rPr>
      <w:rFonts w:ascii="Times New Roman" w:hAnsi="Times New Roman" w:cs="Times New Roman" w:hint="default"/>
      <w:spacing w:val="3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3914</Words>
  <Characters>22313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CoolReferat</vt:lpstr>
    </vt:vector>
  </TitlesOfParts>
  <Company>Grizli777</Company>
  <LinksUpToDate>false</LinksUpToDate>
  <CharactersWithSpaces>26175</CharactersWithSpaces>
  <SharedDoc>false</SharedDoc>
  <HLinks>
    <vt:vector size="48" baseType="variant">
      <vt:variant>
        <vt:i4>1245245</vt:i4>
      </vt:variant>
      <vt:variant>
        <vt:i4>44</vt:i4>
      </vt:variant>
      <vt:variant>
        <vt:i4>0</vt:i4>
      </vt:variant>
      <vt:variant>
        <vt:i4>5</vt:i4>
      </vt:variant>
      <vt:variant>
        <vt:lpwstr/>
      </vt:variant>
      <vt:variant>
        <vt:lpwstr>_Toc250362901</vt:lpwstr>
      </vt:variant>
      <vt:variant>
        <vt:i4>1245245</vt:i4>
      </vt:variant>
      <vt:variant>
        <vt:i4>38</vt:i4>
      </vt:variant>
      <vt:variant>
        <vt:i4>0</vt:i4>
      </vt:variant>
      <vt:variant>
        <vt:i4>5</vt:i4>
      </vt:variant>
      <vt:variant>
        <vt:lpwstr/>
      </vt:variant>
      <vt:variant>
        <vt:lpwstr>_Toc250362900</vt:lpwstr>
      </vt:variant>
      <vt:variant>
        <vt:i4>1703996</vt:i4>
      </vt:variant>
      <vt:variant>
        <vt:i4>32</vt:i4>
      </vt:variant>
      <vt:variant>
        <vt:i4>0</vt:i4>
      </vt:variant>
      <vt:variant>
        <vt:i4>5</vt:i4>
      </vt:variant>
      <vt:variant>
        <vt:lpwstr/>
      </vt:variant>
      <vt:variant>
        <vt:lpwstr>_Toc250362899</vt:lpwstr>
      </vt:variant>
      <vt:variant>
        <vt:i4>1703996</vt:i4>
      </vt:variant>
      <vt:variant>
        <vt:i4>26</vt:i4>
      </vt:variant>
      <vt:variant>
        <vt:i4>0</vt:i4>
      </vt:variant>
      <vt:variant>
        <vt:i4>5</vt:i4>
      </vt:variant>
      <vt:variant>
        <vt:lpwstr/>
      </vt:variant>
      <vt:variant>
        <vt:lpwstr>_Toc250362898</vt:lpwstr>
      </vt:variant>
      <vt:variant>
        <vt:i4>1703996</vt:i4>
      </vt:variant>
      <vt:variant>
        <vt:i4>20</vt:i4>
      </vt:variant>
      <vt:variant>
        <vt:i4>0</vt:i4>
      </vt:variant>
      <vt:variant>
        <vt:i4>5</vt:i4>
      </vt:variant>
      <vt:variant>
        <vt:lpwstr/>
      </vt:variant>
      <vt:variant>
        <vt:lpwstr>_Toc250362897</vt:lpwstr>
      </vt:variant>
      <vt:variant>
        <vt:i4>1703996</vt:i4>
      </vt:variant>
      <vt:variant>
        <vt:i4>14</vt:i4>
      </vt:variant>
      <vt:variant>
        <vt:i4>0</vt:i4>
      </vt:variant>
      <vt:variant>
        <vt:i4>5</vt:i4>
      </vt:variant>
      <vt:variant>
        <vt:lpwstr/>
      </vt:variant>
      <vt:variant>
        <vt:lpwstr>_Toc250362896</vt:lpwstr>
      </vt:variant>
      <vt:variant>
        <vt:i4>1703996</vt:i4>
      </vt:variant>
      <vt:variant>
        <vt:i4>8</vt:i4>
      </vt:variant>
      <vt:variant>
        <vt:i4>0</vt:i4>
      </vt:variant>
      <vt:variant>
        <vt:i4>5</vt:i4>
      </vt:variant>
      <vt:variant>
        <vt:lpwstr/>
      </vt:variant>
      <vt:variant>
        <vt:lpwstr>_Toc250362895</vt:lpwstr>
      </vt:variant>
      <vt:variant>
        <vt:i4>1703996</vt:i4>
      </vt:variant>
      <vt:variant>
        <vt:i4>2</vt:i4>
      </vt:variant>
      <vt:variant>
        <vt:i4>0</vt:i4>
      </vt:variant>
      <vt:variant>
        <vt:i4>5</vt:i4>
      </vt:variant>
      <vt:variant>
        <vt:lpwstr/>
      </vt:variant>
      <vt:variant>
        <vt:lpwstr>_Toc250362894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CoolReferat</dc:title>
  <dc:subject/>
  <dc:creator>Игорь</dc:creator>
  <cp:keywords/>
  <dc:description/>
  <cp:lastModifiedBy>admin</cp:lastModifiedBy>
  <cp:revision>2</cp:revision>
  <cp:lastPrinted>2010-01-04T07:16:00Z</cp:lastPrinted>
  <dcterms:created xsi:type="dcterms:W3CDTF">2014-05-19T01:32:00Z</dcterms:created>
  <dcterms:modified xsi:type="dcterms:W3CDTF">2014-05-19T01:32:00Z</dcterms:modified>
</cp:coreProperties>
</file>