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E8" w:rsidRDefault="000160E8" w:rsidP="000160E8">
      <w:pPr>
        <w:pStyle w:val="a3"/>
      </w:pPr>
      <w:r>
        <w:t>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участниками. Рынок ценных бумаг – это составная часть рынка любой страны.</w:t>
      </w:r>
      <w:r>
        <w:br/>
        <w:t>Классификация видов рынков ценных бумаг имеют много сходства с классификациями самих ценных бумаг.</w:t>
      </w:r>
      <w:r>
        <w:br/>
        <w:t>Так различают:</w:t>
      </w:r>
      <w:r>
        <w:br/>
        <w:t xml:space="preserve"> Международные и национальные рынки ценных бумаг;</w:t>
      </w:r>
      <w:r>
        <w:sym w:font="Symbol" w:char="F0B7"/>
      </w:r>
      <w:r>
        <w:br/>
        <w:t xml:space="preserve"> Национальные и региональные (территориальные) рынки ценных бумаг;</w:t>
      </w:r>
      <w:r>
        <w:sym w:font="Symbol" w:char="F0B7"/>
      </w:r>
      <w:r>
        <w:br/>
        <w:t xml:space="preserve"> Рынки конкретных видов ценных бумаг (акции и облигации);</w:t>
      </w:r>
      <w:r>
        <w:sym w:font="Symbol" w:char="F0B7"/>
      </w:r>
      <w:r>
        <w:br/>
        <w:t xml:space="preserve"> Рынки государственных и корпоративных ценных бумаг;</w:t>
      </w:r>
      <w:r>
        <w:sym w:font="Symbol" w:char="F0B7"/>
      </w:r>
      <w:r>
        <w:br/>
        <w:t xml:space="preserve"> Рынки первичных и производных ценных бумаг</w:t>
      </w:r>
      <w:r>
        <w:sym w:font="Symbol" w:char="F0B7"/>
      </w:r>
      <w:r>
        <w:br/>
        <w:t>Смысл той или иной классификации рынка ценных бумаг определяется ее практической значимостью.</w:t>
      </w:r>
      <w:r>
        <w:br/>
        <w:t>Рынок ценных бумаг (РЦБ)- часть рынка ссудных капиталов, где осуществляется эмиссия и купля-продажа ценных бумаг. Через рынок ценных бумаг (банки, специальные кредитные институты и фондовая биржа) аккумулирующая денежные накопления юридических, физических лиц и государства и направляются на производственное и непроизводственное вложение капиталов.</w:t>
      </w:r>
      <w:r>
        <w:br/>
        <w:t>РЦБ является эффективным механизмом перераспределения финансовых ресурсов и перераспределения капитала.</w:t>
      </w:r>
      <w:r>
        <w:br/>
        <w:t>Рынок ценных бумаг в Казахстане отсутствовал вообще, и его развитие требует времени, поскольку напрямую связано с преобразованием отношения к собственности (прежде всего с приватизацией и акционированием государственных предприятий) и с изменением всего характера финансовой политики государства.</w:t>
      </w:r>
      <w:r>
        <w:br/>
      </w:r>
      <w:r>
        <w:rPr>
          <w:rStyle w:val="a4"/>
        </w:rPr>
        <w:t>Место рынка ценных бумаг</w:t>
      </w:r>
      <w:r>
        <w:br/>
        <w:t>Место рынка ценных бумаг можно оценить с двух позиций: с точки зрения объемов привлечения денежных средств из разных источников и с точки зрения вложения свободных денежных средств в какой-либо рынок. Привлечение денежных средств осуществляется за счет внутренних и  внешних источников. К внутренним источникам обычно относят амортизационные отчисления и полученный чистый доход. Внешними источниками являются банковские ссуды и средства, полученные от выпуска ценных бумаг.</w:t>
      </w:r>
      <w:r>
        <w:br/>
        <w:t>В обществе в целом преобладают внутренние источники, ибо внешние являются результатом перераспределения первых (неважно – своей страны или других стран).</w:t>
      </w:r>
      <w:r>
        <w:br/>
        <w:t>Свободные денежные средства могут быть использованы для инвестирования во многие сферы: в производственную или иную хозяйственную деятельность (промышленность, строительство, торговля, связь), в недвижимость, антиквариат, в пенсионные и страховые фонды, в ценные бумаги различных видов, положены на банковский депозит…</w:t>
      </w:r>
      <w:r>
        <w:br/>
        <w:t>Таким образом, рынок ценных бумаг – это одна из многих сфер приложения свободных капиталов, а потому ему приходится конкурировать за привлечение.</w:t>
      </w:r>
      <w:r>
        <w:br/>
        <w:t>Движение средств между перечисленными рынками вложений капитала происходит в зависимости от многих факторов, основными из которых являются:</w:t>
      </w:r>
      <w:r>
        <w:br/>
        <w:t xml:space="preserve"> Уровень доходности</w:t>
      </w:r>
      <w:r>
        <w:sym w:font="Symbol" w:char="F0B7"/>
      </w:r>
      <w:r>
        <w:br/>
        <w:t xml:space="preserve"> Условия налогообложения рынка</w:t>
      </w:r>
      <w:r>
        <w:sym w:font="Symbol" w:char="F0B7"/>
      </w:r>
      <w:r>
        <w:br/>
        <w:t xml:space="preserve"> Уровень риска потери капитала или недополучение ожидаемого дохода</w:t>
      </w:r>
      <w:r>
        <w:sym w:font="Symbol" w:char="F0B7"/>
      </w:r>
      <w:r>
        <w:br/>
        <w:t xml:space="preserve"> Организация рынка и удобства для инвестора, возможность быстрого входа и выхода из рынка, уровень информированности.</w:t>
      </w:r>
      <w:r>
        <w:sym w:font="Symbol" w:char="F0B7"/>
      </w:r>
      <w:r>
        <w:br/>
      </w:r>
      <w:r>
        <w:rPr>
          <w:rStyle w:val="a4"/>
        </w:rPr>
        <w:t>Функции рынка ценных бумаг</w:t>
      </w:r>
      <w:r>
        <w:br/>
        <w:t>Рынок ценных бумаг имеет целый ряд функций, которые условно можно разделить на две группы: общерыночные функции, присущие каждому рынку, и специфические функции, которые отличают его от других рынков.</w:t>
      </w:r>
      <w:r>
        <w:br/>
        <w:t>К общерыночным функциям относятся:</w:t>
      </w:r>
      <w:r>
        <w:br/>
        <w:t>1. коммерческая функция, т.е. функция получения доходов от операций на данном рынке;</w:t>
      </w:r>
      <w:r>
        <w:br/>
        <w:t>2. ценовая функция, т.е. рынок обеспечивает процесс складывания цен, их постоянное движение и т.д.;</w:t>
      </w:r>
      <w:r>
        <w:br/>
        <w:t>3. информационная функция, т.е. производит и доводит до своих участников рыночную информацию об объектах торговли и ее участниках;</w:t>
      </w:r>
      <w:r>
        <w:br/>
        <w:t>4. регулирующая функция, т.е. рынок создает правила торговли и участие в ней, порядок разрешения спора между участниками, устанавливает приоритеты и органы контроля, или даже управления и т.д.</w:t>
      </w:r>
      <w:r>
        <w:br/>
        <w:t>К специфичным функциям рынка ценных бумаг можно отнести следующее:</w:t>
      </w:r>
      <w:r>
        <w:br/>
        <w:t xml:space="preserve"> функции страхования ценовых и финансовых рисков;</w:t>
      </w:r>
      <w:r>
        <w:sym w:font="Symbol" w:char="F0B7"/>
      </w:r>
      <w:r>
        <w:br/>
        <w:t xml:space="preserve"> перераспределение денежных средств между отраслями и сферами рыночной деятельности;</w:t>
      </w:r>
      <w:r>
        <w:sym w:font="Symbol" w:char="F0B7"/>
      </w:r>
      <w:r>
        <w:br/>
        <w:t xml:space="preserve"> перевод сбережений, прежде всего населения, из непроизводительной в производительную форму;</w:t>
      </w:r>
      <w:r>
        <w:sym w:font="Symbol" w:char="F0B7"/>
      </w:r>
      <w:r>
        <w:br/>
        <w:t xml:space="preserve"> финансирование дефицита государственного бюджета на неинфляционной основе, т.е. без выпуска в обращение дополнительных средств</w:t>
      </w:r>
      <w:r>
        <w:sym w:font="Symbol" w:char="F0B7"/>
      </w:r>
      <w:r>
        <w:br/>
        <w:t>Функция страхования ценовых и финансовых рисков, или хеджирование, стала возможной благодаря появлению класса производных ценных бумаг, фьючерсных и опционных контрактов.</w:t>
      </w:r>
      <w:r>
        <w:br/>
      </w:r>
      <w:r>
        <w:rPr>
          <w:rStyle w:val="a4"/>
        </w:rPr>
        <w:t>Составные части рынка ценных бумаг</w:t>
      </w:r>
      <w:r>
        <w:br/>
        <w:t>Рынок ЦБ может быть представлен как:</w:t>
      </w:r>
      <w:r>
        <w:br/>
        <w:t xml:space="preserve"> Первичный и вторичный;</w:t>
      </w:r>
      <w:r>
        <w:sym w:font="Symbol" w:char="F0A7"/>
      </w:r>
      <w:r>
        <w:br/>
        <w:t xml:space="preserve"> Организованный и неорганизованный</w:t>
      </w:r>
      <w:r>
        <w:sym w:font="Symbol" w:char="F0A7"/>
      </w:r>
    </w:p>
    <w:p w:rsidR="000160E8" w:rsidRDefault="000160E8" w:rsidP="000160E8">
      <w:pPr>
        <w:pStyle w:val="a3"/>
      </w:pPr>
      <w:r>
        <w:t>Инструментами РЦБ (его объектами) являются ценные бумаги.</w:t>
      </w:r>
      <w:r>
        <w:br/>
        <w:t>Участниками РЦБ (его субъектами) являются эмитенты, инвесторы и профессиональные участники РЦБ (посредники).</w:t>
      </w:r>
      <w:r>
        <w:br/>
        <w:t>Первичный рынок ценных бумаг</w:t>
      </w:r>
      <w:r>
        <w:br/>
        <w:t>Первичным рынком ценных бумаг является экономическое пространство, которое ценная бумага проходит от ее эмитента до первого покупателя. Экономическим это пространство называется не только потому, что на нем действуют эмитент и инвестор, но и потому, что оно рационально организовано (для него характерно разделение труда, т.е. на нем функционируют специализированные брокерские и дилерские фирмы), выполняя определенную экономическую задачу только в рамках этого пространства эмитент может получить необходимый ему капитал. Дальнейшее движение ценной бумаги, т.е. ее движение от 1-го к n-ному покупателю, не может быть источником дохода для эмитента.</w:t>
      </w:r>
      <w:r>
        <w:br/>
        <w:t>Вторичный рынок ценных бумаг</w:t>
      </w:r>
      <w:r>
        <w:br/>
        <w:t>Вторичный рынок состоит из двух частей. Одна из этих частей может быть описана как рынок для «подержанных» ценных бумаг. Вторая часть состоит из дополнительных выпусков ценных бумаг, уже находящихся в обращении, независимо о того, является ли результатом выпуска</w:t>
      </w:r>
      <w:r>
        <w:br/>
        <w:t>привлечение новых средств или нет.</w:t>
      </w:r>
      <w:r>
        <w:br/>
        <w:t>Вышеупомянутые методы представляют собой общие способы получения листинга для ценных бумаг/компаний. Ниже приводятся методы, которые используются для получения листинга по новым выпускам уже существующих ценных бумаг, которые уже имеют этот листинг</w:t>
      </w:r>
    </w:p>
    <w:p w:rsidR="000160E8" w:rsidRDefault="000160E8" w:rsidP="000160E8">
      <w:pPr>
        <w:pStyle w:val="a3"/>
      </w:pPr>
      <w:r>
        <w:rPr>
          <w:rStyle w:val="a4"/>
        </w:rPr>
        <w:t>Сущность ценных бумаг</w:t>
      </w:r>
      <w:r>
        <w:br/>
        <w:t>Понятие ценных бумаг</w:t>
      </w:r>
      <w:r>
        <w:br/>
        <w:t>Согласно Гражданскому кодексу Республики Казахстан ценной бумагой является документ, установленной формы и реквизитов, удостоверяющий имущественные права, осуществление или передача которых возможна только при его предъявлении. Данное определение является юридическим.</w:t>
      </w:r>
      <w:r>
        <w:br/>
        <w:t>Экономическое содержание исходит из того, что весь товарный мир делится на две группы: товары  (материальные блага, услуги) и деньги. Деньги могут быть просто деньгами и капиталом, т.е. деньгами, которые приносят новые деньги. Всегда имеется потребность в передаче денег от одного лица (юридического или физического) к другому.</w:t>
      </w:r>
      <w:r>
        <w:br/>
        <w:t>Практика рынка выбрала два основных способа указанной передачи денег – через процесс кредитования и путем выпуска и обращения ценных бумаг. На товарном рынке тоже возникают такие ситуации, когда необходимо осуществить передачу товара при отсутствии его самого, например, когда товар находится в пути, или он еще не произведен. Но ценная бумага – это не деньги не материальный товар. Ее ценность состоит в тех правах, которая она дает своему владельцу. Последний обменивает свой товар и свои деньги на ценную бумагу только в том случае, если он уверен, что эта бумага ничуть не хуже, а даже лучше, чем сами деньги или товар.</w:t>
      </w:r>
      <w:r>
        <w:br/>
        <w:t>Поскольку деньги, и товар в современных условиях есть различные формы существования капитала, то экономическое определения данной бумаги можно выразить следующим образом.</w:t>
      </w:r>
      <w:r>
        <w:br/>
        <w:t>Ценная бумага – это форма существования капитала, отличная от его товарной, производительной и денежной форм, которая может передаваться вместо него самого, обращаться на рынке как товар и приносить доход.</w:t>
      </w:r>
      <w:r>
        <w:br/>
        <w:t>Ценная бумага – это особый товар, который обращается на особом своем рынке – рынке ценных бумаг, но не является ни физическим товаром, ни услугой, ни деньгами.</w:t>
      </w:r>
      <w:r>
        <w:br/>
        <w:t>Ценная бумага обладает рядом свойств, которые сближают ее с деньгами. Ее главное свойство – это возможность обмена на деньги в различных формах (путем погашения, купли-продажи, возврата эмитенту, переуступки прав и т.д.). Она может использоваться в расчетах, быть предметом залога, храниться в течение ряда лет или бессрочно передаваться по наследству, служить подарком и т.д.</w:t>
      </w:r>
      <w:r>
        <w:br/>
      </w:r>
      <w:r>
        <w:rPr>
          <w:rStyle w:val="a4"/>
        </w:rPr>
        <w:t>Ценная бумага выполняет ряд общественно значимых функций:</w:t>
      </w:r>
      <w:r>
        <w:br/>
      </w:r>
      <w:r>
        <w:sym w:font="Symbol" w:char="F0B7"/>
      </w:r>
      <w:r>
        <w:t xml:space="preserve"> перераспределяет денежные средства (капиталы) между: отраслями и сферами экономики; территориями и странами; группами и слоями населения; населением со сферами экономики; населением и государством и т.п.;</w:t>
      </w:r>
      <w:r>
        <w:br/>
      </w:r>
      <w:r>
        <w:sym w:font="Symbol" w:char="F0B7"/>
      </w:r>
      <w:r>
        <w:t xml:space="preserve"> предоставляет определенные дополнительные права владельцам, помимо права на капитал, например, право на участие в управлении, соответствующую информацию, первоочередность в определенных ситуациях и т.п.;</w:t>
      </w:r>
      <w:r>
        <w:br/>
        <w:t xml:space="preserve"> обеспечивает получение дохода на капитал и (или) возврат самого капитала и др.</w:t>
      </w:r>
      <w:r>
        <w:sym w:font="Symbol" w:char="F0B7"/>
      </w:r>
      <w:r>
        <w:br/>
      </w:r>
      <w:r>
        <w:rPr>
          <w:rStyle w:val="a4"/>
        </w:rPr>
        <w:t>Классификация и виды ценных бумаг</w:t>
      </w:r>
      <w:r>
        <w:br/>
      </w:r>
      <w:r>
        <w:rPr>
          <w:i/>
          <w:iCs/>
        </w:rPr>
        <w:t>По экономической природе</w:t>
      </w:r>
      <w:r>
        <w:br/>
        <w:t xml:space="preserve"> Долевые (акция)</w:t>
      </w:r>
      <w:r>
        <w:sym w:font="Symbol" w:char="F0B7"/>
      </w:r>
      <w:r>
        <w:br/>
        <w:t xml:space="preserve"> Долговые (облигация, ипотечное свидетельство, казначейские обязательства, ноты Нацбанка РК)</w:t>
      </w:r>
      <w:r>
        <w:sym w:font="Symbol" w:char="F0B7"/>
      </w:r>
      <w:r>
        <w:br/>
        <w:t xml:space="preserve"> Товарные распорядительные документы (коносамент)</w:t>
      </w:r>
      <w:r>
        <w:sym w:font="Symbol" w:char="F0B7"/>
      </w:r>
      <w:r>
        <w:br/>
        <w:t xml:space="preserve"> Производные финансовые инструменты (фьючерс, опцион, варрант, своп и др.)</w:t>
      </w:r>
      <w:r>
        <w:sym w:font="Symbol" w:char="F0B7"/>
      </w:r>
    </w:p>
    <w:p w:rsidR="000160E8" w:rsidRDefault="000160E8" w:rsidP="000160E8">
      <w:pPr>
        <w:pStyle w:val="a3"/>
      </w:pPr>
      <w:r>
        <w:rPr>
          <w:i/>
          <w:iCs/>
        </w:rPr>
        <w:t>По способу передачи прав на ценную бумагу</w:t>
      </w:r>
      <w:r>
        <w:br/>
        <w:t xml:space="preserve"> Именные</w:t>
      </w:r>
      <w:r>
        <w:sym w:font="Symbol" w:char="F0B7"/>
      </w:r>
      <w:r>
        <w:br/>
        <w:t xml:space="preserve"> Ордерные</w:t>
      </w:r>
      <w:r>
        <w:sym w:font="Symbol" w:char="F0B7"/>
      </w:r>
      <w:r>
        <w:br/>
        <w:t xml:space="preserve"> Предъявительские</w:t>
      </w:r>
      <w:r>
        <w:sym w:font="Symbol" w:char="F0B7"/>
      </w:r>
    </w:p>
    <w:p w:rsidR="000160E8" w:rsidRDefault="000160E8" w:rsidP="000160E8">
      <w:pPr>
        <w:pStyle w:val="a3"/>
      </w:pPr>
      <w:r>
        <w:rPr>
          <w:i/>
          <w:iCs/>
        </w:rPr>
        <w:t>По форме выпуска</w:t>
      </w:r>
      <w:r>
        <w:br/>
        <w:t xml:space="preserve"> Документарные (бумажные)</w:t>
      </w:r>
      <w:r>
        <w:sym w:font="Symbol" w:char="F0B7"/>
      </w:r>
      <w:r>
        <w:br/>
        <w:t xml:space="preserve"> Бездокументарные (дематериализованные)</w:t>
      </w:r>
      <w:r>
        <w:sym w:font="Symbol" w:char="F0B7"/>
      </w:r>
    </w:p>
    <w:p w:rsidR="000160E8" w:rsidRDefault="000160E8" w:rsidP="000160E8">
      <w:pPr>
        <w:pStyle w:val="a3"/>
      </w:pPr>
      <w:r>
        <w:rPr>
          <w:i/>
          <w:iCs/>
        </w:rPr>
        <w:t>По сроку привлечения капитала</w:t>
      </w:r>
      <w:r>
        <w:br/>
        <w:t xml:space="preserve"> краткосрочные</w:t>
      </w:r>
      <w:r>
        <w:sym w:font="Symbol" w:char="F0B7"/>
      </w:r>
      <w:r>
        <w:br/>
        <w:t xml:space="preserve"> среднесрочные (от 2 до 5 лет)</w:t>
      </w:r>
      <w:r>
        <w:sym w:font="Symbol" w:char="F0B7"/>
      </w:r>
      <w:r>
        <w:br/>
        <w:t xml:space="preserve"> долгосрочные (от 5 до 25 лет)</w:t>
      </w:r>
      <w:r>
        <w:sym w:font="Symbol" w:char="F0B7"/>
      </w:r>
      <w:r>
        <w:br/>
        <w:t xml:space="preserve"> бессрочные</w:t>
      </w:r>
      <w:r>
        <w:sym w:font="Symbol" w:char="F0B7"/>
      </w:r>
    </w:p>
    <w:p w:rsidR="000160E8" w:rsidRDefault="000160E8" w:rsidP="000160E8">
      <w:pPr>
        <w:pStyle w:val="a3"/>
      </w:pPr>
      <w:r>
        <w:rPr>
          <w:i/>
          <w:iCs/>
        </w:rPr>
        <w:t>По территории обращения</w:t>
      </w:r>
      <w:r>
        <w:br/>
        <w:t xml:space="preserve"> Региональные</w:t>
      </w:r>
      <w:r>
        <w:sym w:font="Symbol" w:char="F0B7"/>
      </w:r>
      <w:r>
        <w:br/>
        <w:t xml:space="preserve"> Национальные</w:t>
      </w:r>
      <w:r>
        <w:sym w:font="Symbol" w:char="F0B7"/>
      </w:r>
      <w:r>
        <w:br/>
        <w:t xml:space="preserve"> Международные</w:t>
      </w:r>
      <w:r>
        <w:sym w:font="Symbol" w:char="F0B7"/>
      </w:r>
    </w:p>
    <w:p w:rsidR="000160E8" w:rsidRDefault="000160E8" w:rsidP="000160E8">
      <w:pPr>
        <w:pStyle w:val="a3"/>
      </w:pPr>
      <w:r>
        <w:rPr>
          <w:i/>
          <w:iCs/>
        </w:rPr>
        <w:t>По эмитентам</w:t>
      </w:r>
      <w:r>
        <w:br/>
        <w:t xml:space="preserve"> Государственные (т.е. ценные бумаги, выпускаемые от имени правительства Министерством финансов)</w:t>
      </w:r>
      <w:r>
        <w:sym w:font="Symbol" w:char="F0B7"/>
      </w:r>
      <w:r>
        <w:br/>
        <w:t xml:space="preserve"> Муниципальные (т.е. ценные бумаги местных органов власти и предприятий, находящихся в муниципальной собственности)</w:t>
      </w:r>
      <w:r>
        <w:sym w:font="Symbol" w:char="F0B7"/>
      </w:r>
      <w:r>
        <w:br/>
        <w:t xml:space="preserve"> Корпоративные</w:t>
      </w:r>
      <w:r>
        <w:sym w:font="Symbol" w:char="F0B7"/>
      </w:r>
      <w:r>
        <w:br/>
        <w:t xml:space="preserve"> Иностранные</w:t>
      </w:r>
      <w:r>
        <w:sym w:font="Symbol" w:char="F0B7"/>
      </w:r>
    </w:p>
    <w:p w:rsidR="000160E8" w:rsidRDefault="000160E8" w:rsidP="000160E8">
      <w:pPr>
        <w:pStyle w:val="a3"/>
      </w:pPr>
      <w:r>
        <w:rPr>
          <w:i/>
          <w:iCs/>
        </w:rPr>
        <w:t>По способу выплаты дохода</w:t>
      </w:r>
      <w:r>
        <w:br/>
        <w:t xml:space="preserve"> С постоянным доходом</w:t>
      </w:r>
      <w:r>
        <w:sym w:font="Symbol" w:char="F0B7"/>
      </w:r>
      <w:r>
        <w:br/>
        <w:t xml:space="preserve"> С разовым доходом</w:t>
      </w:r>
      <w:r>
        <w:sym w:font="Symbol" w:char="F0B7"/>
      </w:r>
      <w:r>
        <w:br/>
        <w:t>те и другие могут быть</w:t>
      </w:r>
      <w:r>
        <w:br/>
        <w:t xml:space="preserve"> С фиксированной процентной ставкой</w:t>
      </w:r>
      <w:r>
        <w:sym w:font="Symbol" w:char="F0B7"/>
      </w:r>
      <w:r>
        <w:br/>
        <w:t xml:space="preserve"> С плавающей процентной ставкой</w:t>
      </w:r>
      <w:r>
        <w:sym w:font="Symbol" w:char="F0B7"/>
      </w:r>
    </w:p>
    <w:p w:rsidR="000160E8" w:rsidRDefault="000160E8" w:rsidP="000160E8">
      <w:pPr>
        <w:pStyle w:val="a3"/>
      </w:pPr>
      <w:r>
        <w:t>В Республике Казахстан имеют место следующие виды ценных бумаг (в соответствии с Гражданским кодексом РК):</w:t>
      </w:r>
      <w:r>
        <w:br/>
        <w:t>- акции, облигации, коносаменты и другие документы, которые закреплены законодательными актами о ценных бумагах или в установленном ими порядке отнесены к числу ценных бумаг.</w:t>
      </w:r>
    </w:p>
    <w:p w:rsidR="000160E8" w:rsidRDefault="00565E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67.25pt">
            <v:imagedata r:id="rId4" o:title=""/>
          </v:shape>
        </w:pict>
      </w:r>
    </w:p>
    <w:p w:rsidR="000160E8" w:rsidRDefault="000160E8"/>
    <w:p w:rsidR="000160E8" w:rsidRDefault="000160E8">
      <w:r>
        <w:rPr>
          <w:rStyle w:val="a4"/>
        </w:rPr>
        <w:t>Создание и эволюция нормативной и правовой инфраструктуры рынка ценных бумаг в Казахстане</w:t>
      </w:r>
      <w:r>
        <w:br/>
        <w:t xml:space="preserve">Всю недолгую историю рынка ценных бумаг в Казахстане, начавшуюся в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., можно подразделить на несколько характерных периодов:</w:t>
      </w:r>
      <w:r>
        <w:br/>
        <w:t xml:space="preserve"> «рыночной инициативы»</w:t>
      </w:r>
      <w:r>
        <w:sym w:font="Symbol" w:char="F06E"/>
      </w:r>
      <w:r>
        <w:br/>
        <w:t xml:space="preserve"> «кабинетный»</w:t>
      </w:r>
      <w:r>
        <w:sym w:font="Symbol" w:char="F06E"/>
      </w:r>
      <w:r>
        <w:br/>
        <w:t xml:space="preserve"> ожидания</w:t>
      </w:r>
      <w:r>
        <w:sym w:font="Symbol" w:char="F06E"/>
      </w:r>
      <w:r>
        <w:br/>
        <w:t xml:space="preserve"> адаптации</w:t>
      </w:r>
      <w:r>
        <w:sym w:font="Symbol" w:char="F06E"/>
      </w:r>
      <w:r>
        <w:br/>
      </w:r>
      <w:r>
        <w:rPr>
          <w:rStyle w:val="a5"/>
        </w:rPr>
        <w:t xml:space="preserve">ПЕРИОД «РЫНОЧНОЙ ИНИЦИАТИВЫ» </w:t>
      </w:r>
      <w:r>
        <w:t xml:space="preserve">(1990-1991 гг.). На волне общественного подъема, вызванного процессами демократизации, появляются первые акционерные общества, которые выпустили первые в истории Казахстана акции. Создаются фондовые биржи - Алматинская и Казахстанская. В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 введен в действие закон «Об обращении ценных бумаг и фондовой бирже в Казахской ССР», вслед за которым правительство утверждает разработанное Министерством финансов «Положение о ценных бумагах». Регистрация, выпуск и обращение ценных бумаг регулируются в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 вначале временными правилами, затем «Инструкцией о правилах выпуска и регистрации ценных бумаг акционерных обществ и инвестиционных фондов».</w:t>
      </w:r>
      <w:r>
        <w:br/>
      </w:r>
      <w:r>
        <w:rPr>
          <w:rStyle w:val="a5"/>
        </w:rPr>
        <w:t>ПЕРИОД «КАБИНЕТНЫЙ»</w:t>
      </w:r>
      <w:r>
        <w:t xml:space="preserve"> (1993-1995 гг.). В обществе возникает понимание неподготовленности как государства, так и хозяйствующих субъектов к работе с ценными бумагами. Начинается подготовка первой «волны» специалистов, призванных сыграть решающую роль в становлении инфраструктуры рынка ценных бумаг в целом и законодательной базы в особенности. Обучение происходит в известных высших учебных заведениях за рубежом, путем стажировок в институтах рынков ценных бумаг Японии, Великобритании, США, Турции, России и других стран. В Казахстан приглашаются эксперты международных организаций, с участием известных специалистов проводятся семинары.</w:t>
      </w:r>
      <w:r>
        <w:br/>
      </w:r>
      <w:r>
        <w:rPr>
          <w:rStyle w:val="a5"/>
        </w:rPr>
        <w:t xml:space="preserve">ПЕРИОД ОЖИДАНИЯ. </w:t>
      </w:r>
      <w:r>
        <w:t xml:space="preserve">(1996-1997 гг.) В НКЦБ и правительство приходят молодые специалисты первой волны. Именно на этот период приходится выход в свет наиболее законченных документов - законов, постановлений правительства и НКЦБ, инструкций и иных документов Национального Банка и других институтов, которые в совокупности впервые образовали конструктивную «оболочку» правовой и нормативной инфраструктуры рынка ценных бумаг Казахстана, позволяющую строить участникам РЦБ вполне цивилизованные отношения. </w:t>
      </w:r>
      <w:r>
        <w:br/>
        <w:t>В руководстве государства созрело понимание огромной роли рынка ценных бумаг в экономике, источники наполнения бюджета либо скудеют и закрываются, либо их появление откладывается. Тормозится процесс приватизации, которая не дает бюджету ожидаемых доходов. Правительство, как крупнейший собственник, готовит план масштабного прорыва на рынок ценных бумаг. Всю свою огромную и пока малополезную собственность оно разделяет на три категории:</w:t>
      </w:r>
      <w:r>
        <w:br/>
        <w:t xml:space="preserve"> «голубые фишки»</w:t>
      </w:r>
      <w:r>
        <w:sym w:font="Symbol" w:char="F06E"/>
      </w:r>
      <w:r>
        <w:br/>
        <w:t xml:space="preserve"> «второй эшелон» и</w:t>
      </w:r>
      <w:r>
        <w:sym w:font="Symbol" w:char="F06E"/>
      </w:r>
      <w:r>
        <w:br/>
        <w:t xml:space="preserve"> прочие.</w:t>
      </w:r>
      <w:r>
        <w:sym w:font="Symbol" w:char="F06E"/>
      </w:r>
      <w:r>
        <w:br/>
        <w:t xml:space="preserve">В числе «голубых фишек» крупнейшие предприятия горнодобывающей промышленности, черной и цветной металлургии, нефтедобычи и нефтепереработки, энергетики и связи. Замысел состоял в том, что часть госпакетов акций этих компаний поступит в обращение на фондовую биржу. Хотя эта часть представляла небольшую долю собственности, ее общая номинальная стоимость была настолько велика, а компании настолько привлекательны для инвесторов, что обозреватели отмечали заметную концентрацию финансовых средств в ожидании залпового выброса акций в обращение. К декларированному правительством сроку (осень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.) НКЦБ, Национальным Банком, другими государственными институтами, Казахстанской фондовой биржей, всеми профессиональными участниками рынка ценных бумаг была проделана огромная подготовительная работа в создании цельной технологии торговли, отвечающей высоким требованиям мирового рынка ценных бумаг. </w:t>
      </w:r>
      <w:r>
        <w:br/>
      </w:r>
      <w:r>
        <w:rPr>
          <w:rStyle w:val="a5"/>
        </w:rPr>
        <w:t xml:space="preserve">ПЕРИОД АДАПТАЦИИ. </w:t>
      </w:r>
      <w:r>
        <w:t xml:space="preserve">В начале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стало ясно, что после нескольких отставок и рокировки ключевых фигур, ожидания участников рынка были напрасны: «голубые фишки» не состоятся в обещанный срок, не состоятся они и в ближайшем будущем. Среди издержек непоследовательности и нерешительности правительства, которые в общем можно оценить, отметим не совсем очевидные: моральное старение технологии торговли. Кроме издержек есть и очевидный плюс: участники рынка стали опытней и будут еще более готовыми к переменам на рынке ценных бумаг в Казахстане.</w:t>
      </w:r>
    </w:p>
    <w:p w:rsidR="000160E8" w:rsidRDefault="000160E8"/>
    <w:p w:rsidR="000160E8" w:rsidRDefault="00565EA9">
      <w:r>
        <w:pict>
          <v:shape id="_x0000_i1026" type="#_x0000_t75" style="width:240pt;height:126pt">
            <v:imagedata r:id="rId5" o:title=""/>
          </v:shape>
        </w:pict>
      </w:r>
      <w:bookmarkStart w:id="0" w:name="_GoBack"/>
      <w:bookmarkEnd w:id="0"/>
    </w:p>
    <w:sectPr w:rsidR="000160E8" w:rsidSect="000160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0E8"/>
    <w:rsid w:val="000160E8"/>
    <w:rsid w:val="00565EA9"/>
    <w:rsid w:val="00F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B262BA3-F705-4B4D-B0F7-070D673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60E8"/>
    <w:pPr>
      <w:spacing w:before="100" w:beforeAutospacing="1" w:after="100" w:afterAutospacing="1"/>
    </w:pPr>
  </w:style>
  <w:style w:type="character" w:styleId="a4">
    <w:name w:val="Strong"/>
    <w:basedOn w:val="a0"/>
    <w:qFormat/>
    <w:rsid w:val="000160E8"/>
    <w:rPr>
      <w:b/>
      <w:bCs/>
    </w:rPr>
  </w:style>
  <w:style w:type="character" w:styleId="a5">
    <w:name w:val="Emphasis"/>
    <w:basedOn w:val="a0"/>
    <w:qFormat/>
    <w:rsid w:val="00016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"Шанс"</Company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admin</cp:lastModifiedBy>
  <cp:revision>2</cp:revision>
  <dcterms:created xsi:type="dcterms:W3CDTF">2014-04-27T10:12:00Z</dcterms:created>
  <dcterms:modified xsi:type="dcterms:W3CDTF">2014-04-27T10:12:00Z</dcterms:modified>
</cp:coreProperties>
</file>