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91" w:rsidRPr="00A16726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Федеральное агентство по образованию Российской Федерации</w:t>
      </w:r>
    </w:p>
    <w:p w:rsidR="008D423A" w:rsidRPr="00A16726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Государственное образовательное учреждение</w:t>
      </w:r>
    </w:p>
    <w:p w:rsidR="001C6091" w:rsidRPr="00A16726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высшего профессионального образования</w:t>
      </w:r>
    </w:p>
    <w:p w:rsidR="001C6091" w:rsidRPr="00A16726" w:rsidRDefault="00056FEE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«</w:t>
      </w:r>
      <w:r w:rsidR="001C6091" w:rsidRPr="00A16726">
        <w:rPr>
          <w:sz w:val="28"/>
          <w:szCs w:val="28"/>
        </w:rPr>
        <w:t>Южно-Уральский государственный университет</w:t>
      </w:r>
      <w:r w:rsidRPr="00A16726">
        <w:rPr>
          <w:sz w:val="28"/>
          <w:szCs w:val="28"/>
        </w:rPr>
        <w:t>»</w:t>
      </w:r>
    </w:p>
    <w:p w:rsidR="00056FEE" w:rsidRPr="00A16726" w:rsidRDefault="00056FEE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Факультет «Экономика и управление»</w:t>
      </w:r>
    </w:p>
    <w:p w:rsidR="001C6091" w:rsidRPr="00A16726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Кафедра «Экономическая теория и мировая экономика»</w:t>
      </w:r>
    </w:p>
    <w:p w:rsidR="001C6091" w:rsidRPr="00A16726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D423A" w:rsidRPr="00A16726" w:rsidRDefault="008D423A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56FEE" w:rsidRPr="009824C9" w:rsidRDefault="00056FEE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6D7371" w:rsidRPr="009824C9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6D7371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6D7371" w:rsidRPr="00A16726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Пояснительная записка</w:t>
      </w:r>
    </w:p>
    <w:p w:rsidR="006D7371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6D7371" w:rsidRPr="00A16726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к выпускному квалификационному проекту</w:t>
      </w:r>
    </w:p>
    <w:p w:rsidR="006D7371" w:rsidRPr="009824C9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ЮУрГУ</w:t>
      </w:r>
      <w:r w:rsidRPr="009824C9">
        <w:rPr>
          <w:sz w:val="28"/>
          <w:szCs w:val="28"/>
        </w:rPr>
        <w:t>-08</w:t>
      </w:r>
      <w:r>
        <w:rPr>
          <w:sz w:val="28"/>
          <w:szCs w:val="28"/>
        </w:rPr>
        <w:t>0102.2009</w:t>
      </w:r>
    </w:p>
    <w:p w:rsidR="006D7371" w:rsidRDefault="006D737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6D7371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 xml:space="preserve">Модель оценки </w:t>
      </w:r>
      <w:r w:rsidR="00BB57A2" w:rsidRPr="00A16726">
        <w:rPr>
          <w:sz w:val="28"/>
          <w:szCs w:val="28"/>
        </w:rPr>
        <w:t>эффективности</w:t>
      </w:r>
      <w:r w:rsidRPr="00A16726">
        <w:rPr>
          <w:sz w:val="28"/>
          <w:szCs w:val="28"/>
        </w:rPr>
        <w:t xml:space="preserve"> управления ПИФом на пр</w:t>
      </w:r>
      <w:r w:rsidR="006D7371">
        <w:rPr>
          <w:sz w:val="28"/>
          <w:szCs w:val="28"/>
        </w:rPr>
        <w:t>имере ЗПИФН «Вольные каменщики»</w:t>
      </w:r>
    </w:p>
    <w:p w:rsidR="001C6091" w:rsidRPr="00A16726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по доверительным управлением ООО «УК «МАГИСТР»»</w:t>
      </w:r>
    </w:p>
    <w:p w:rsidR="006D7371" w:rsidRPr="009824C9" w:rsidRDefault="006D737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D7371" w:rsidRPr="009824C9" w:rsidRDefault="006D737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6091" w:rsidRPr="009824C9" w:rsidRDefault="001C6091" w:rsidP="006D7371">
      <w:pPr>
        <w:widowControl w:val="0"/>
        <w:spacing w:line="360" w:lineRule="auto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Руководитель </w:t>
      </w:r>
      <w:r w:rsidR="00056FEE" w:rsidRPr="00A16726">
        <w:rPr>
          <w:sz w:val="28"/>
          <w:szCs w:val="28"/>
        </w:rPr>
        <w:t>проекта</w:t>
      </w:r>
    </w:p>
    <w:p w:rsidR="001C6091" w:rsidRPr="00A16726" w:rsidRDefault="00056FEE" w:rsidP="006D7371">
      <w:pPr>
        <w:widowControl w:val="0"/>
        <w:spacing w:line="360" w:lineRule="auto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Доцент кафедры ЭТиМЭ</w:t>
      </w:r>
    </w:p>
    <w:p w:rsidR="00056FEE" w:rsidRPr="00A16726" w:rsidRDefault="00056FEE" w:rsidP="006D7371">
      <w:pPr>
        <w:widowControl w:val="0"/>
        <w:spacing w:line="360" w:lineRule="auto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Н.В.</w:t>
      </w:r>
      <w:r w:rsidR="006D7371" w:rsidRPr="009824C9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Моцаренко</w:t>
      </w:r>
    </w:p>
    <w:p w:rsidR="00056FEE" w:rsidRPr="00A16726" w:rsidRDefault="00056FEE" w:rsidP="006D7371">
      <w:pPr>
        <w:widowControl w:val="0"/>
        <w:spacing w:line="360" w:lineRule="auto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Автор проекта</w:t>
      </w:r>
    </w:p>
    <w:p w:rsidR="00056FEE" w:rsidRPr="009824C9" w:rsidRDefault="00056FEE" w:rsidP="006D7371">
      <w:pPr>
        <w:widowControl w:val="0"/>
        <w:spacing w:line="360" w:lineRule="auto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Студент группы</w:t>
      </w:r>
      <w:r w:rsidR="00A16726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ЗЭиУ-301</w:t>
      </w:r>
    </w:p>
    <w:p w:rsidR="00056FEE" w:rsidRPr="00A16726" w:rsidRDefault="00056FEE" w:rsidP="006D7371">
      <w:pPr>
        <w:widowControl w:val="0"/>
        <w:spacing w:line="360" w:lineRule="auto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И.А.Сидоренко </w:t>
      </w:r>
    </w:p>
    <w:p w:rsidR="00056FEE" w:rsidRPr="00A16726" w:rsidRDefault="00056FEE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6091" w:rsidRPr="006D7371" w:rsidRDefault="001C6091" w:rsidP="006D737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16726">
        <w:rPr>
          <w:sz w:val="28"/>
          <w:szCs w:val="28"/>
        </w:rPr>
        <w:t>Челябинск</w:t>
      </w:r>
      <w:r w:rsidR="00056FEE" w:rsidRPr="00A16726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2009</w:t>
      </w:r>
      <w:r w:rsidR="006D7371">
        <w:rPr>
          <w:sz w:val="28"/>
          <w:szCs w:val="28"/>
        </w:rPr>
        <w:t>г.</w:t>
      </w:r>
    </w:p>
    <w:p w:rsidR="001C6091" w:rsidRPr="00A16726" w:rsidRDefault="006D737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6091" w:rsidRPr="00A16726">
        <w:rPr>
          <w:sz w:val="28"/>
          <w:szCs w:val="28"/>
        </w:rPr>
        <w:t>Аннотация</w:t>
      </w:r>
    </w:p>
    <w:p w:rsidR="001C6091" w:rsidRPr="00A16726" w:rsidRDefault="001C609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D7371" w:rsidRPr="00A16726" w:rsidRDefault="009824C9" w:rsidP="006D7371">
      <w:pPr>
        <w:widowControl w:val="0"/>
        <w:tabs>
          <w:tab w:val="left" w:pos="514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Сидоренко И.А. </w:t>
      </w:r>
      <w:r w:rsidR="006D7371" w:rsidRPr="00A16726">
        <w:rPr>
          <w:sz w:val="28"/>
          <w:szCs w:val="28"/>
        </w:rPr>
        <w:t xml:space="preserve">Модель оценки качества управления ПИФом на примере ЗПИФН «Вольные каменщики» по доверительным управлением ООО «УК «МАГИСТР»». – Челябинск: ЮУрГУ, ЗЭУ-301, </w:t>
      </w:r>
      <w:smartTag w:uri="urn:schemas-microsoft-com:office:smarttags" w:element="metricconverter">
        <w:smartTagPr>
          <w:attr w:name="ProductID" w:val="43 л"/>
        </w:smartTagPr>
        <w:r w:rsidR="006D7371" w:rsidRPr="00A16726">
          <w:rPr>
            <w:sz w:val="28"/>
            <w:szCs w:val="28"/>
          </w:rPr>
          <w:t>43 л</w:t>
        </w:r>
      </w:smartTag>
      <w:r w:rsidR="006D7371" w:rsidRPr="00A16726">
        <w:rPr>
          <w:sz w:val="28"/>
          <w:szCs w:val="28"/>
        </w:rPr>
        <w:t>., библиография литературы 16 наименований</w:t>
      </w:r>
    </w:p>
    <w:p w:rsidR="001C6091" w:rsidRPr="00A16726" w:rsidRDefault="00DD749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Выпускная квалификационная работа</w:t>
      </w:r>
      <w:r w:rsidR="001C6091" w:rsidRPr="00A16726">
        <w:rPr>
          <w:sz w:val="28"/>
          <w:szCs w:val="28"/>
        </w:rPr>
        <w:t xml:space="preserve"> содержит теоретические и практические аспекты оценки качества управления ПИФом на примере ЗПИФН «Вольные каменщики» по доверительным управлением ООО «УК «МАГИСТР»».</w:t>
      </w:r>
    </w:p>
    <w:p w:rsidR="001C6091" w:rsidRPr="00A16726" w:rsidRDefault="001C609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bCs/>
          <w:sz w:val="28"/>
          <w:szCs w:val="28"/>
        </w:rPr>
        <w:t xml:space="preserve">Цель </w:t>
      </w:r>
      <w:r w:rsidR="00DD749D" w:rsidRPr="00A16726">
        <w:rPr>
          <w:bCs/>
          <w:sz w:val="28"/>
          <w:szCs w:val="28"/>
        </w:rPr>
        <w:t>работы</w:t>
      </w:r>
      <w:r w:rsidRPr="00A16726">
        <w:rPr>
          <w:bCs/>
          <w:sz w:val="28"/>
          <w:szCs w:val="28"/>
        </w:rPr>
        <w:t xml:space="preserve"> </w:t>
      </w:r>
      <w:r w:rsidRPr="00A16726">
        <w:rPr>
          <w:sz w:val="28"/>
          <w:szCs w:val="28"/>
        </w:rPr>
        <w:t>- рассмотрение методики эффективного выбора, оценки и прогнозирования деятельности паевых инвестиционных фондов в соответствии с особенностями развития финансов инвестиционного процесса и паевого инвестирования в России на примере ЗПИФН «Вольные каменщики» по доверительным управлением ООО «УК «МАГИСТР»».</w:t>
      </w:r>
    </w:p>
    <w:p w:rsidR="001C6091" w:rsidRPr="00A16726" w:rsidRDefault="001C6091" w:rsidP="00A1672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16726">
        <w:rPr>
          <w:bCs/>
          <w:color w:val="auto"/>
          <w:sz w:val="28"/>
          <w:szCs w:val="28"/>
        </w:rPr>
        <w:t xml:space="preserve">Научная новизна </w:t>
      </w:r>
      <w:r w:rsidR="00DD749D" w:rsidRPr="00A16726">
        <w:rPr>
          <w:bCs/>
          <w:color w:val="auto"/>
          <w:sz w:val="28"/>
          <w:szCs w:val="28"/>
        </w:rPr>
        <w:t>работы</w:t>
      </w:r>
      <w:r w:rsidRPr="00A16726">
        <w:rPr>
          <w:bCs/>
          <w:color w:val="auto"/>
          <w:sz w:val="28"/>
          <w:szCs w:val="28"/>
        </w:rPr>
        <w:t xml:space="preserve"> </w:t>
      </w:r>
      <w:r w:rsidRPr="00A16726">
        <w:rPr>
          <w:color w:val="auto"/>
          <w:sz w:val="28"/>
          <w:szCs w:val="28"/>
        </w:rPr>
        <w:t xml:space="preserve">заключается в решении проблемы по разработке методики эффективного выбора, оценки и прогнозирования стоимости активов паевых инвестиционных фондов на примере отдельно взятого ПИФа. </w:t>
      </w:r>
    </w:p>
    <w:p w:rsidR="001C6091" w:rsidRPr="00A16726" w:rsidRDefault="001C6091" w:rsidP="00A1672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16726">
        <w:rPr>
          <w:color w:val="auto"/>
          <w:sz w:val="28"/>
          <w:szCs w:val="28"/>
        </w:rPr>
        <w:t>В процессе исследования получены следующие научные результаты, вынесенные в отчет:</w:t>
      </w:r>
    </w:p>
    <w:p w:rsidR="001C6091" w:rsidRPr="00A16726" w:rsidRDefault="001C6091" w:rsidP="00A1672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16726">
        <w:rPr>
          <w:color w:val="auto"/>
          <w:sz w:val="28"/>
          <w:szCs w:val="28"/>
        </w:rPr>
        <w:t>• уточнено определение паевого инвестиционного фонда</w:t>
      </w:r>
      <w:r w:rsidRPr="00A16726">
        <w:rPr>
          <w:iCs/>
          <w:color w:val="auto"/>
          <w:sz w:val="28"/>
          <w:szCs w:val="28"/>
        </w:rPr>
        <w:t xml:space="preserve">, </w:t>
      </w:r>
      <w:r w:rsidRPr="00A16726">
        <w:rPr>
          <w:color w:val="auto"/>
          <w:sz w:val="28"/>
          <w:szCs w:val="28"/>
        </w:rPr>
        <w:t xml:space="preserve">который, в отличие от традиционной роли финансового посредника, может быть представлен как институт инвестирования, образующий обособленный имущественный комплекс добровольно переданных в доверительное управление ресурсов, с последующей аккумуляцией и инвестированием их на диверсифицированной основе в определенный законом перечень объектов, в целях извлечения прибыли, с последующим распределением стоимости чистых активов пропорционально долям участия инвесторов. </w:t>
      </w:r>
    </w:p>
    <w:p w:rsidR="001C6091" w:rsidRPr="00A16726" w:rsidRDefault="001C6091" w:rsidP="00A1672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16726">
        <w:rPr>
          <w:color w:val="auto"/>
          <w:sz w:val="28"/>
          <w:szCs w:val="28"/>
        </w:rPr>
        <w:t xml:space="preserve">• разработана методика оценки эффективности ПИФов на основе определения доходности ПИФа с учетом рисков, которые он несет; для этого рассчитываются такие показатели, как: доходность фонда; его волатильность; коэффициент «альфа»; коэффициент «бета»; коэффициенты Шарпа и Трейнора, используемые для определения точности финансового прогноза. </w:t>
      </w:r>
    </w:p>
    <w:p w:rsidR="001C6091" w:rsidRPr="00A16726" w:rsidRDefault="001C6091" w:rsidP="00A1672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16726">
        <w:rPr>
          <w:color w:val="auto"/>
          <w:sz w:val="28"/>
          <w:szCs w:val="28"/>
        </w:rPr>
        <w:t>Расчет осуществляется с учетом таких ограничений, как: отсутствие бeзpискового актива на российском фондовом pынкe и замена его суррогатом; довольно небольшой временной срок для сравнения ПИФов.</w:t>
      </w:r>
    </w:p>
    <w:p w:rsidR="001C6091" w:rsidRPr="00A16726" w:rsidRDefault="001C609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6091" w:rsidRPr="00A16726" w:rsidRDefault="001C609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br w:type="page"/>
      </w:r>
      <w:r w:rsidR="00BB57A2" w:rsidRPr="00A16726">
        <w:rPr>
          <w:sz w:val="28"/>
          <w:szCs w:val="28"/>
        </w:rPr>
        <w:t>ВВЕДЕНИЕ</w:t>
      </w:r>
    </w:p>
    <w:p w:rsidR="006D7371" w:rsidRDefault="006D737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57A2" w:rsidRPr="00A16726" w:rsidRDefault="00BB57A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Задача формирования инвестиционного портфеля ценных бумаг, </w:t>
      </w:r>
      <w:r w:rsidR="00AC4F1E" w:rsidRPr="00A16726">
        <w:rPr>
          <w:sz w:val="28"/>
          <w:szCs w:val="28"/>
        </w:rPr>
        <w:t>составляющих паевой инвестиционный ф</w:t>
      </w:r>
      <w:r w:rsidRPr="00A16726">
        <w:rPr>
          <w:sz w:val="28"/>
          <w:szCs w:val="28"/>
        </w:rPr>
        <w:t>онд</w:t>
      </w:r>
      <w:r w:rsidR="00AC4F1E" w:rsidRPr="00A16726">
        <w:rPr>
          <w:sz w:val="28"/>
          <w:szCs w:val="28"/>
        </w:rPr>
        <w:t xml:space="preserve"> (ПИФ)</w:t>
      </w:r>
      <w:r w:rsidRPr="00A16726">
        <w:rPr>
          <w:sz w:val="28"/>
          <w:szCs w:val="28"/>
        </w:rPr>
        <w:t>, возникла с появлением самих ценных бумаг и стала следствием естественного нежелания инвестора полностью связать свое финансовое благополучие с судьбой только одной компании. Ее возникновение и развитие связаны с такими именами, как 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Марковиц, У.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Шарп, Дж.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Линтнер, Дж.</w:t>
      </w:r>
      <w:r w:rsidR="006D7371">
        <w:rPr>
          <w:sz w:val="28"/>
          <w:szCs w:val="28"/>
        </w:rPr>
        <w:t xml:space="preserve"> Тобин и др.</w:t>
      </w:r>
    </w:p>
    <w:p w:rsidR="00BB57A2" w:rsidRPr="00A16726" w:rsidRDefault="00BB57A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 необходимостью понимания и применения портфельной теории столкнулись и российские управляющие фондами при формировании портфелей ценных бумаг в условиях сверх рискованного российского финансового рынка, что и определяет увеличе</w:t>
      </w:r>
      <w:r w:rsidR="006D7371">
        <w:rPr>
          <w:sz w:val="28"/>
          <w:szCs w:val="28"/>
        </w:rPr>
        <w:t>ние интереса к данной тематике.</w:t>
      </w:r>
    </w:p>
    <w:p w:rsidR="00BB57A2" w:rsidRPr="00A16726" w:rsidRDefault="00BB57A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Вопросы оценки эффективности работы паевого инвестиционного фонда (ПИФа) и сравнения деятельности нескольких фондов являются одними из самых главных для потенциальных инвесторов. Однако не менее интересно рассмотреть то, как сама управляющая компания ведет оценку эффективности своей деятельности и сравнивает работу своих ПИФов с фондами –</w:t>
      </w:r>
      <w:r w:rsidR="006D7371">
        <w:rPr>
          <w:sz w:val="28"/>
          <w:szCs w:val="28"/>
        </w:rPr>
        <w:t xml:space="preserve"> конкурентами и рынком в целом.</w:t>
      </w:r>
    </w:p>
    <w:p w:rsidR="00BB57A2" w:rsidRPr="00A16726" w:rsidRDefault="00BB57A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Актуальность рассматриваемой в работе тематики связана со значительным ростом количества ПИФов и расширением их деятельности на российском рынке. Так, по данным Национальной лиги управляющих, общее количество ПИФов за 2004 год увеличилось почти вдвое - со 154 до 294, при этом совокупная стоимость чистых активов (СЧА) ПИФов выросла с 2,5 млрд. до 4 млрд. долларов - это около 6% от общего объема банковских депозитов населения. </w:t>
      </w:r>
    </w:p>
    <w:p w:rsidR="001C6091" w:rsidRPr="00A16726" w:rsidRDefault="001C609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По состоянию на середину 2008 года на российском рынке действовали 283 управляющих компаний (УК), имеющих лицензию на управления паевыми, инвестиционными и негосударственными пенсионными фондами, причем в течение последних двух лет число участников рынка увеличилось почти вдвое. По данным на конец первого полугодия 2008 года совокупный объем средств, находящихся в ДУ, оценивался в 1 463,8 млрд. руб., увеличившись за два года более чем на 70%. Доля сектора коллективных инвестиций на российском рынке ДУ на протяжении 2003-2005 годов сокращалась (43% в общем объеме активов под управлением на конец 2003 года, 35,2% - в 2004 году и 34,7% - по итогам 2005 года). Однако в последующие годы тенденция изменилась - по итогам 2006 года удельный вес сектора вырос до 40,1%, а по итогам 2007 года – до 46,4%.</w:t>
      </w:r>
    </w:p>
    <w:p w:rsidR="001C6091" w:rsidRPr="00A16726" w:rsidRDefault="001C609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Вместе с тем, в структуре сектора коллективных инвестиций произошли изменения, свидетельствующие о смещении фокуса внимания управляющих с массового розничного пайщика на крупных клиентов. Об этом говорит опережающий рост числа закрытых фондов, большинство которых создаются под конкретные инвестиционные проекты. Согласно данным Н</w:t>
      </w:r>
      <w:r w:rsidR="00AC4F1E" w:rsidRPr="00A16726">
        <w:rPr>
          <w:sz w:val="28"/>
          <w:szCs w:val="28"/>
        </w:rPr>
        <w:t xml:space="preserve">ациональной </w:t>
      </w:r>
      <w:r w:rsidRPr="00A16726">
        <w:rPr>
          <w:sz w:val="28"/>
          <w:szCs w:val="28"/>
        </w:rPr>
        <w:t>Л</w:t>
      </w:r>
      <w:r w:rsidR="00AC4F1E" w:rsidRPr="00A16726">
        <w:rPr>
          <w:sz w:val="28"/>
          <w:szCs w:val="28"/>
        </w:rPr>
        <w:t xml:space="preserve">иги </w:t>
      </w:r>
      <w:r w:rsidRPr="00A16726">
        <w:rPr>
          <w:sz w:val="28"/>
          <w:szCs w:val="28"/>
        </w:rPr>
        <w:t>У</w:t>
      </w:r>
      <w:r w:rsidR="00AC4F1E" w:rsidRPr="00A16726">
        <w:rPr>
          <w:sz w:val="28"/>
          <w:szCs w:val="28"/>
        </w:rPr>
        <w:t>правляющих</w:t>
      </w:r>
      <w:r w:rsidRPr="00A16726">
        <w:rPr>
          <w:sz w:val="28"/>
          <w:szCs w:val="28"/>
        </w:rPr>
        <w:t>, если в 2006 году объем привлечения средств в открытые и интервальные ПИФы был лишь немногим меньше, чем в закрытые – 47,09 млрд. рублей и 54,21 млрд. рублей, соответственно, то по итогам 2007 года в закрытые ПИФы было привлечено 282,96 млрд. рублей, что более чем в 20 раз превысило результат открытых и интервальных фондов (13,54 млрд. рублей).</w:t>
      </w:r>
    </w:p>
    <w:p w:rsidR="00CF75B0" w:rsidRPr="00A16726" w:rsidRDefault="00CF75B0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В данной связи у управляющих фондом возникает необходимость в более эффективном построении и управлении ПИФом, а также постоянной внутренней оценке деятельности ПИФа для удовлетворения инвестиционных ожиданий вкладчиков и повышения привлекательности фонда в глазах потенциальных инвесторов. Таким образом, целью представленной работы является анализ различных методов оценки эффективности управления портфелем паевых инвестиционных фондов. </w:t>
      </w:r>
    </w:p>
    <w:p w:rsidR="00CF75B0" w:rsidRPr="00A16726" w:rsidRDefault="00CF75B0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Поставленной целью обусловлены задачи анализа основных портфельных теорий, законодательной базы, определяющей основные ограничения на направления инвестиций ПИФов, базовых целей и стратегий инвестирования, а также методов управления и оценки портфелей фондов. </w:t>
      </w:r>
    </w:p>
    <w:p w:rsidR="00622360" w:rsidRPr="00A16726" w:rsidRDefault="00CF75B0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Изучаемая в работе тематика является актуальной с научной точки зрения, о чем свидетельствует большой объем литературы, используемый в качестве базы для исследования. Отдельно можно выделить группу источников, которая относится к истолкованиям современной и традиционной портфельных теорий и оценке эффективности управления портфелем, и находит свое отражение в ведущих западных финансовых учебниках</w:t>
      </w:r>
      <w:r w:rsidRPr="00A16726">
        <w:rPr>
          <w:rStyle w:val="a6"/>
          <w:sz w:val="28"/>
          <w:szCs w:val="28"/>
        </w:rPr>
        <w:footnoteReference w:id="1"/>
      </w:r>
      <w:r w:rsidRPr="00A16726">
        <w:rPr>
          <w:sz w:val="28"/>
          <w:szCs w:val="28"/>
        </w:rPr>
        <w:t>, а также в ряде статей российских и зарубежных научных журналов, например, таких как «</w:t>
      </w:r>
      <w:r w:rsidR="00485D32" w:rsidRPr="00A16726">
        <w:rPr>
          <w:sz w:val="28"/>
          <w:szCs w:val="28"/>
          <w:lang w:val="en-US"/>
        </w:rPr>
        <w:t>RBK</w:t>
      </w:r>
      <w:r w:rsidRPr="00A16726">
        <w:rPr>
          <w:sz w:val="28"/>
          <w:szCs w:val="28"/>
        </w:rPr>
        <w:t>»</w:t>
      </w:r>
      <w:r w:rsidR="00485D32" w:rsidRPr="00A16726">
        <w:rPr>
          <w:rStyle w:val="a6"/>
          <w:sz w:val="28"/>
          <w:szCs w:val="28"/>
        </w:rPr>
        <w:footnoteReference w:id="2"/>
      </w:r>
      <w:r w:rsidRPr="00A16726">
        <w:rPr>
          <w:sz w:val="28"/>
          <w:szCs w:val="28"/>
        </w:rPr>
        <w:t>, «Journal of Financial Planning</w:t>
      </w:r>
      <w:r w:rsidR="00622360" w:rsidRPr="00A16726">
        <w:rPr>
          <w:rStyle w:val="a6"/>
          <w:sz w:val="28"/>
          <w:szCs w:val="28"/>
        </w:rPr>
        <w:footnoteReference w:id="3"/>
      </w:r>
      <w:r w:rsidRPr="00A16726">
        <w:rPr>
          <w:sz w:val="28"/>
          <w:szCs w:val="28"/>
        </w:rPr>
        <w:t>», «Journal of International Economics</w:t>
      </w:r>
      <w:r w:rsidR="00622360" w:rsidRPr="00A16726">
        <w:rPr>
          <w:rStyle w:val="a6"/>
          <w:sz w:val="28"/>
          <w:szCs w:val="28"/>
        </w:rPr>
        <w:footnoteReference w:id="4"/>
      </w:r>
      <w:r w:rsidRPr="00A16726">
        <w:rPr>
          <w:sz w:val="28"/>
          <w:szCs w:val="28"/>
        </w:rPr>
        <w:t>» и др. Анализу эффективности управления портфелем фондов посвящены статьи и в ведущих российских периодических изданиях: «Рынок ценных бумаг</w:t>
      </w:r>
      <w:r w:rsidR="00622360" w:rsidRPr="00A16726">
        <w:rPr>
          <w:rStyle w:val="a6"/>
          <w:sz w:val="28"/>
          <w:szCs w:val="28"/>
        </w:rPr>
        <w:footnoteReference w:id="5"/>
      </w:r>
      <w:r w:rsidRPr="00A16726">
        <w:rPr>
          <w:sz w:val="28"/>
          <w:szCs w:val="28"/>
        </w:rPr>
        <w:t>», «Инвестиции плюс</w:t>
      </w:r>
      <w:r w:rsidR="00622360" w:rsidRPr="00A16726">
        <w:rPr>
          <w:rStyle w:val="a6"/>
          <w:sz w:val="28"/>
          <w:szCs w:val="28"/>
        </w:rPr>
        <w:footnoteReference w:id="6"/>
      </w:r>
      <w:r w:rsidR="00622360" w:rsidRPr="00A16726">
        <w:rPr>
          <w:sz w:val="28"/>
          <w:szCs w:val="28"/>
        </w:rPr>
        <w:t>».</w:t>
      </w:r>
      <w:r w:rsidRPr="00A16726">
        <w:rPr>
          <w:sz w:val="28"/>
          <w:szCs w:val="28"/>
        </w:rPr>
        <w:t xml:space="preserve"> </w:t>
      </w:r>
    </w:p>
    <w:p w:rsidR="00CF75B0" w:rsidRPr="00A16726" w:rsidRDefault="00CF75B0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Большое количество информации представлено в электронном виде. Данные о сформированных портфелях ПИФов и изменениях, происходящих в них, представлены на сайтах управляющих компаний. Кроме того, существует ряд специализированных сайтов, на которых можно найти большой объем разнообразной информации, посвященной развитию паевых фондов в России в целом и управлению портфелями конкретных ПИФов в частности. Вопрос оценки эффективности управления портфелями фондов является очень дискуссионным в силу того, что существует достаточно большое количество разнообразных подходов. Нельзя не отметить то, что в последнее время сами управляющие фондами стали проводить все больше конференций, в рамках которых рассматриваются различные подходы к анализу эффективности работы паевых фондов в России. Кроме того, появляются интернет-конференции и форумы</w:t>
      </w:r>
      <w:r w:rsidR="00622360" w:rsidRPr="00A16726">
        <w:rPr>
          <w:rStyle w:val="a6"/>
          <w:sz w:val="28"/>
          <w:szCs w:val="28"/>
        </w:rPr>
        <w:footnoteReference w:id="7"/>
      </w:r>
      <w:r w:rsidRPr="00A16726">
        <w:rPr>
          <w:sz w:val="28"/>
          <w:szCs w:val="28"/>
        </w:rPr>
        <w:t xml:space="preserve">, участниками которых являются как представители ПИФов, так и просто интересующиеся данным вопросом. Как в </w:t>
      </w:r>
      <w:r w:rsidR="00622360" w:rsidRPr="00A16726">
        <w:rPr>
          <w:sz w:val="28"/>
          <w:szCs w:val="28"/>
        </w:rPr>
        <w:t>Москве</w:t>
      </w:r>
      <w:r w:rsidRPr="00A16726">
        <w:rPr>
          <w:sz w:val="28"/>
          <w:szCs w:val="28"/>
        </w:rPr>
        <w:t xml:space="preserve">, так и в </w:t>
      </w:r>
      <w:r w:rsidR="00622360" w:rsidRPr="00A16726">
        <w:rPr>
          <w:sz w:val="28"/>
          <w:szCs w:val="28"/>
        </w:rPr>
        <w:t>Екатерибурге</w:t>
      </w:r>
      <w:r w:rsidRPr="00A16726">
        <w:rPr>
          <w:sz w:val="28"/>
          <w:szCs w:val="28"/>
        </w:rPr>
        <w:t xml:space="preserve"> проводятся конференции и выставки, где участники круглого стола могут обсудить вопросы, связанные с формированием и управлением портфелем ПИФов, а также оценкой эффективности их деятельности. </w:t>
      </w:r>
    </w:p>
    <w:p w:rsidR="00CF75B0" w:rsidRPr="00A16726" w:rsidRDefault="00CF75B0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В первой главе работы изучены традиционная и современная портфельная теория, законодательная база, определяющая основные ограничения на направления инвестиций ПИФов, проанализированы базовые цели и стратегии инвестирования, а также методы управления портфелями фондов. </w:t>
      </w:r>
    </w:p>
    <w:p w:rsidR="00CF75B0" w:rsidRPr="00A16726" w:rsidRDefault="00CF75B0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Во второй главе подробно рассмотрены такие методы оценки эффективности управления портфелем ПИФа</w:t>
      </w:r>
      <w:r w:rsidR="009C710E" w:rsidRPr="00A16726">
        <w:rPr>
          <w:sz w:val="28"/>
          <w:szCs w:val="28"/>
        </w:rPr>
        <w:t xml:space="preserve"> (на примере ЗПИФН «Волные каменщики» под ДУ ООО «УК»МАГИСТР»)</w:t>
      </w:r>
      <w:r w:rsidRPr="00A16726">
        <w:rPr>
          <w:sz w:val="28"/>
          <w:szCs w:val="28"/>
        </w:rPr>
        <w:t>, как стоимость чистых активов фонда и стоимость пая в динамике, средневзвешенная доходность фонда за определенный период времени, оценка степени риска портфеля фонда, соотношение рискованности вложений фонда и его доходности, а также динамика количества паев. Кроме того, там представлены основны</w:t>
      </w:r>
      <w:r w:rsidR="009C710E" w:rsidRPr="00A16726">
        <w:rPr>
          <w:sz w:val="28"/>
          <w:szCs w:val="28"/>
        </w:rPr>
        <w:t>е проблемы, с которыми сталкивае</w:t>
      </w:r>
      <w:r w:rsidRPr="00A16726">
        <w:rPr>
          <w:sz w:val="28"/>
          <w:szCs w:val="28"/>
        </w:rPr>
        <w:t xml:space="preserve">тся </w:t>
      </w:r>
      <w:r w:rsidR="009C710E" w:rsidRPr="00A16726">
        <w:rPr>
          <w:sz w:val="28"/>
          <w:szCs w:val="28"/>
        </w:rPr>
        <w:t>УК</w:t>
      </w:r>
      <w:r w:rsidRPr="00A16726">
        <w:rPr>
          <w:sz w:val="28"/>
          <w:szCs w:val="28"/>
        </w:rPr>
        <w:t xml:space="preserve"> при проведении оценки эффективности управления фондами. </w:t>
      </w:r>
    </w:p>
    <w:p w:rsidR="009C710E" w:rsidRPr="00A16726" w:rsidRDefault="00CF75B0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 xml:space="preserve">В третьей главе работы вышеперечисленные показатели использованы для </w:t>
      </w:r>
      <w:r w:rsidR="009C710E" w:rsidRPr="00A16726">
        <w:rPr>
          <w:sz w:val="28"/>
          <w:szCs w:val="28"/>
        </w:rPr>
        <w:t>разработки рекомендаций по повышению качества доверительного управления паевым инвестиционным фондом «Вольные каменщики» под ДУ ООО «УК»МАГИСТР». Лицензия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 от «01» марта 2007г. № 21-000-1-00366, выданная Федеральной службой по финансовым рынкам. Целью инвестиционной политики управляющей компании является строительство объектов недвижимости с целью их продажи или сдачи в аренду</w:t>
      </w:r>
      <w:r w:rsidR="009C710E" w:rsidRPr="00A16726">
        <w:rPr>
          <w:rStyle w:val="a6"/>
          <w:sz w:val="28"/>
          <w:szCs w:val="28"/>
        </w:rPr>
        <w:footnoteReference w:id="8"/>
      </w:r>
      <w:r w:rsidR="009C710E" w:rsidRPr="00A16726">
        <w:rPr>
          <w:sz w:val="28"/>
          <w:szCs w:val="28"/>
        </w:rPr>
        <w:t xml:space="preserve">. Рекомендации будут даны в связи со сложившейся ситуацией глобального масштаба (мировой финансовый кризис), так и </w:t>
      </w:r>
      <w:r w:rsidR="008C5104" w:rsidRPr="00A16726">
        <w:rPr>
          <w:sz w:val="28"/>
          <w:szCs w:val="28"/>
        </w:rPr>
        <w:t xml:space="preserve">такого </w:t>
      </w:r>
      <w:r w:rsidR="009C710E" w:rsidRPr="00A16726">
        <w:rPr>
          <w:sz w:val="28"/>
          <w:szCs w:val="28"/>
        </w:rPr>
        <w:t>локального</w:t>
      </w:r>
      <w:r w:rsidR="008C5104" w:rsidRPr="00A16726">
        <w:rPr>
          <w:sz w:val="28"/>
          <w:szCs w:val="28"/>
        </w:rPr>
        <w:t xml:space="preserve"> </w:t>
      </w:r>
      <w:r w:rsidR="00DD749D" w:rsidRPr="00A16726">
        <w:rPr>
          <w:sz w:val="28"/>
          <w:szCs w:val="28"/>
        </w:rPr>
        <w:t>(к</w:t>
      </w:r>
      <w:r w:rsidR="008C5104" w:rsidRPr="00A16726">
        <w:rPr>
          <w:sz w:val="28"/>
          <w:szCs w:val="28"/>
        </w:rPr>
        <w:t>ол</w:t>
      </w:r>
      <w:r w:rsidR="00DD749D" w:rsidRPr="00A16726">
        <w:rPr>
          <w:sz w:val="28"/>
          <w:szCs w:val="28"/>
        </w:rPr>
        <w:t>лапс строительной деятельности)</w:t>
      </w:r>
      <w:r w:rsidR="008C5104" w:rsidRPr="00A16726">
        <w:rPr>
          <w:sz w:val="28"/>
          <w:szCs w:val="28"/>
        </w:rPr>
        <w:t>.</w:t>
      </w:r>
    </w:p>
    <w:p w:rsidR="00DD749D" w:rsidRPr="00A16726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Нынешний</w:t>
      </w:r>
      <w:r w:rsidR="00CF75B0" w:rsidRPr="00A16726">
        <w:rPr>
          <w:sz w:val="28"/>
          <w:szCs w:val="28"/>
        </w:rPr>
        <w:t xml:space="preserve"> год оказался самым тяжелым </w:t>
      </w:r>
      <w:r w:rsidRPr="00A16726">
        <w:rPr>
          <w:sz w:val="28"/>
          <w:szCs w:val="28"/>
        </w:rPr>
        <w:t>также и для</w:t>
      </w:r>
      <w:r w:rsidR="00CF75B0" w:rsidRPr="00A16726">
        <w:rPr>
          <w:sz w:val="28"/>
          <w:szCs w:val="28"/>
        </w:rPr>
        <w:t xml:space="preserve"> паевых инвестиционных фондов и управляющих компаний с тех пор, как случился августовский кризис 1998 года.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выручка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крупнейших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7—50%,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операционная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сократилась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</w:t>
      </w:r>
      <w:r w:rsidRPr="00A16726">
        <w:rPr>
          <w:rStyle w:val="a6"/>
          <w:sz w:val="28"/>
          <w:szCs w:val="28"/>
        </w:rPr>
        <w:footnoteReference w:id="9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Впрочем,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начале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прошлого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большинству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удалось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завершить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прибылью.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источников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осталось,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клиентов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сокращается,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избежать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удастся,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признают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Проанализировав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бухгалтерскую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отчетность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крупнейших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выручкой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превышающей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выяснили,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67—73%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привело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выручки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(ПИФы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7—50%.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Увеличить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выручки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смогли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«Альфа-капитал»,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«Финам-менеджмент»,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«Витус»,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«Регион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Девелопмент»,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«Капиталъ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сумели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увеличить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выручку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20—60%.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«Цены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снижались,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темпами,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пиковых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апреле-июне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регионам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упали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7—16%»,-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гендиректор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«Капиталъ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Роман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Шемендюк.</w:t>
      </w:r>
    </w:p>
    <w:p w:rsidR="008C5104" w:rsidRPr="00A16726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вынуждены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сокращать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расходы.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Половина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отчетность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проанализирована,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5—62%.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розничных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удалось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операционной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(«Тройка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Диалог»,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«Уралсиб»,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«Промышленные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традиции»),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(«Ренессанс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Капитал»).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прошлого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сокращали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затраты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персонал,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маркетинг,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командировки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IT,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позволило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потерь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году»,-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председатель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«Ренессанс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Аганбегян.</w:t>
      </w:r>
    </w:p>
    <w:p w:rsidR="006D7371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незначительно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сократившие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увеличившие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расходы,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операционной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деятельности.</w:t>
      </w:r>
    </w:p>
    <w:p w:rsidR="006D7371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Среди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«Альянс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активами»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(-223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«Альфа-капитал»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(-210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«ОФГ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(-108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«Райффайзен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(-56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«Лидер»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(-36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руб.).</w:t>
      </w:r>
      <w:r w:rsidR="006D7371">
        <w:rPr>
          <w:sz w:val="28"/>
          <w:szCs w:val="28"/>
        </w:rPr>
        <w:t xml:space="preserve"> </w:t>
      </w:r>
    </w:p>
    <w:p w:rsidR="008C5104" w:rsidRPr="00A16726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Совокупная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операционная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(показатель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управляющих)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крупнейших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прошлом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2,3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млрд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Несмотря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большинство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смогли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(без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«Уралсиб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капиталом»;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4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млрд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объясняют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изменившейся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методикой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расчетов)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составил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около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590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млн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3,7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меньше,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2007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году.</w:t>
      </w:r>
    </w:p>
    <w:p w:rsidR="006D7371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стабильный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2008г.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(ПИФ).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объясняется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исчисляется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</w:p>
    <w:p w:rsidR="008C5104" w:rsidRPr="00A16726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прошлого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составила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-55,2%,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65%.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июня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шел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вверх,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помогло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компенсировать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второго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полугодия»,-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поясняет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гендиректор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«КИТ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Фортис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инвестментс»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Владимир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Кириллов.</w:t>
      </w:r>
    </w:p>
    <w:p w:rsidR="006067D9" w:rsidRPr="00A16726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источников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почти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осталось.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словам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гендиректора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«Альфа-капитал»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Михаила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Хабарова,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договорам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индивидуального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единственное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плата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успех,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сегодняшних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невозможно».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раньше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выпавшие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компенсировать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сейчас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невозможно: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продолжает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сокращаться,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забирают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деньги»,-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заключает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господин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Кириллов.</w:t>
      </w:r>
    </w:p>
    <w:p w:rsidR="00C82752" w:rsidRDefault="008C5104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условиях</w:t>
      </w:r>
      <w:r w:rsidR="00C82752"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постараемся</w:t>
      </w:r>
      <w:r w:rsidR="006D7371">
        <w:rPr>
          <w:sz w:val="28"/>
          <w:szCs w:val="28"/>
        </w:rPr>
        <w:t xml:space="preserve"> </w:t>
      </w:r>
      <w:r w:rsidR="00DD749D" w:rsidRPr="00A16726">
        <w:rPr>
          <w:sz w:val="28"/>
          <w:szCs w:val="28"/>
        </w:rPr>
        <w:t>упрочить</w:t>
      </w:r>
      <w:r w:rsidR="006D7371">
        <w:rPr>
          <w:sz w:val="28"/>
          <w:szCs w:val="28"/>
        </w:rPr>
        <w:t xml:space="preserve"> </w:t>
      </w:r>
      <w:r w:rsidR="00DD749D"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повысить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финансовую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результативность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«УК»МАГИСТР»,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путем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внедрения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новой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схемы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C82752" w:rsidRPr="00A16726">
        <w:rPr>
          <w:sz w:val="28"/>
          <w:szCs w:val="28"/>
        </w:rPr>
        <w:t>фонда.</w:t>
      </w:r>
    </w:p>
    <w:p w:rsidR="006D7371" w:rsidRPr="00A16726" w:rsidRDefault="006D737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338D7" w:rsidRDefault="00C8275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br w:type="page"/>
      </w:r>
      <w:r w:rsidR="00F338D7" w:rsidRPr="00A16726">
        <w:rPr>
          <w:sz w:val="28"/>
          <w:szCs w:val="28"/>
        </w:rPr>
        <w:t>Глава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1.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Теоретические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аспекты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доверительному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управлению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="00F338D7" w:rsidRPr="00A16726">
        <w:rPr>
          <w:sz w:val="28"/>
          <w:szCs w:val="28"/>
        </w:rPr>
        <w:t>бумаг</w:t>
      </w:r>
    </w:p>
    <w:p w:rsidR="006D7371" w:rsidRPr="00A16726" w:rsidRDefault="006D737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Федеральный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«Об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фондах»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№156-ФЗ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29.11.2001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«Об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фондах»)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следующее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ПИФам: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Паевой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инвестиционный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обособленный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имущественный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комплекс,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состоящий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доверительное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учредителем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(учредителями)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доверительного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условием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объединения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учредителей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доверительного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полученного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процессе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собственности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удостоверяется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бумагой,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выдаваемой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УК).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юридическим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лицом.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Другими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словами,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инструмент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коллективного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позволяет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инвесторам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объединить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доверительное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профессиональному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управляющему.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составляющее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разделено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равные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части,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называемые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предлагает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инвесторам.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Инвестиционный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пай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именная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удостоверяющая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Каждый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удостоверяет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одинаковую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одинаковые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каждый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находится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остальными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участниками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равных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условиях,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отличаясь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количеством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принадлежащих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принадлежащих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одному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владельцу,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выражаться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дробным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числом.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лицевых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счетах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реестре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подтверждаются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выпиской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реестра,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подготавливает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регистратор.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основным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операциям,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относятся: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приобретение,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обмен,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передача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наследству,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дарение,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передача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залог.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предусматривает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своему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выплат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процентов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дивидендов.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складывается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прироста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помнить,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денежном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выражении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получен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Важно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понимать,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прибыль,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зарабатывает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операций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бумагами,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увеличивает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чистых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идет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каждому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пропорционально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количеству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приобретенных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Соответственно,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выше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словами,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срока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выросла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сравнению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ценой,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приобрел,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говорить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получении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понижения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срока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понесет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убытки.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знать,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никто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заранее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гарантирует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прибыльности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зависит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профессионализма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открытых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рассчитывается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ежедневно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путем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деления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чистых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Информация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чистых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публикуется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деловой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прессе,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Internet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-сайте.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отметим,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приобретения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29A1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D7371" w:rsidRPr="004829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29A1">
        <w:rPr>
          <w:rFonts w:ascii="Times New Roman" w:hAnsi="Times New Roman" w:cs="Times New Roman"/>
          <w:color w:val="auto"/>
          <w:sz w:val="28"/>
          <w:szCs w:val="28"/>
        </w:rPr>
        <w:t>отличаться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расчетной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величину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надбавки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скидки,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представляют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комиссию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выдачу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нескольким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характеристикам.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Российским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(ФЗ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«Об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фондах»)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типы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открытые,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интервальные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закрытые.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типов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заключается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часто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проводят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выдачу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открытом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погасить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любой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рабочий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день.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Интервальные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продают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покупают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заранее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промежутки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времени,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называемые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интервалы.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Обычно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устанавливаются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2-4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недели.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сроках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информируются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заранее.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Закрытые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создаются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времени,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правило,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выкупаются.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Обычно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тип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создается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проекты,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поэтому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продавать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после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завершения.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данного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типа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недвижимости.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Кроме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того,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существуют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категории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принято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разделять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того,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чтобы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представлять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степень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оценивать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потенциальный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необходимо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ориентироваться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многообразии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предлагаемых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Итак,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традиционно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выделяют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смешанных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прямых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венчурных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инвестиций,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(фонды,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ПИФы);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ипотечные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6D7371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индексные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фонды.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сегодняшний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самыми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распространенными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фонды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акций,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облигаций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смешанных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инвестиций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вполне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естественно,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охватывают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стратегии: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агрессивную,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консервативную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сбалансированную.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удовлетворить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существующих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потенциальных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рассчитаны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желающих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максимальный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соответственно,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обладающих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высокой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устойчивостью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риску.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предназначены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ожидающих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стабильного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ограниченном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смешанных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объединяют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преимущества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предлагая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инвесторам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взвешенный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размещению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Федеральной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службой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финансовым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структуре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фонда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облигаций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составлять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50%,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соответственно,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фонде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акций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вложений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составлять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фондов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смешанных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инвестиций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четких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требований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соотношению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портфеле.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Примерная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указанных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приведена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Таблице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D7371" w:rsidRDefault="006D7371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Таблица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Примерная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структура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активов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открытых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паевых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инвестиционных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фондов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различных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категорий</w:t>
      </w:r>
    </w:p>
    <w:tbl>
      <w:tblPr>
        <w:tblW w:w="0" w:type="auto"/>
        <w:tblCellSpacing w:w="0" w:type="dxa"/>
        <w:tblInd w:w="2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0"/>
        <w:gridCol w:w="5936"/>
        <w:gridCol w:w="1260"/>
      </w:tblGrid>
      <w:tr w:rsidR="00F338D7" w:rsidRPr="006D7371" w:rsidTr="00974948">
        <w:trPr>
          <w:trHeight w:val="284"/>
          <w:tblCellSpacing w:w="0" w:type="dxa"/>
        </w:trPr>
        <w:tc>
          <w:tcPr>
            <w:tcW w:w="18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>Категория</w:t>
            </w:r>
            <w:r w:rsidR="006D7371"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>ПИФа</w:t>
            </w:r>
            <w:r w:rsidR="006D7371"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36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>Структура</w:t>
            </w:r>
            <w:r w:rsidR="006D7371"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>активов</w:t>
            </w:r>
            <w:r w:rsidR="006D7371"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>Степень</w:t>
            </w:r>
            <w:r w:rsidR="006D7371"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>риска</w:t>
            </w:r>
            <w:r w:rsidR="006D7371" w:rsidRPr="006D7371">
              <w:rPr>
                <w:rStyle w:val="a8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F338D7" w:rsidRPr="006D7371" w:rsidTr="00974948">
        <w:trPr>
          <w:tblCellSpacing w:w="0" w:type="dxa"/>
        </w:trPr>
        <w:tc>
          <w:tcPr>
            <w:tcW w:w="18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облигаций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36" w:type="dxa"/>
          </w:tcPr>
          <w:p w:rsidR="00F338D7" w:rsidRPr="006D7371" w:rsidRDefault="00F338D7" w:rsidP="0097494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7371">
              <w:rPr>
                <w:sz w:val="20"/>
                <w:szCs w:val="20"/>
              </w:rPr>
              <w:t>Денежные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средства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–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не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более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25%</w:t>
            </w:r>
            <w:r w:rsidR="006D7371" w:rsidRPr="006D7371">
              <w:rPr>
                <w:sz w:val="20"/>
                <w:szCs w:val="20"/>
              </w:rPr>
              <w:t xml:space="preserve"> </w:t>
            </w:r>
          </w:p>
          <w:p w:rsidR="00F338D7" w:rsidRPr="006D7371" w:rsidRDefault="00F338D7" w:rsidP="0097494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7371">
              <w:rPr>
                <w:sz w:val="20"/>
                <w:szCs w:val="20"/>
              </w:rPr>
              <w:t>Государственные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облигации,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облигации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субъектов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Российской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Федерации,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корпоративные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облигации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–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не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менее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50%</w:t>
            </w:r>
            <w:r w:rsidR="006D7371" w:rsidRPr="006D73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Риск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низкий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338D7" w:rsidRPr="006D7371" w:rsidTr="00974948">
        <w:trPr>
          <w:tblCellSpacing w:w="0" w:type="dxa"/>
        </w:trPr>
        <w:tc>
          <w:tcPr>
            <w:tcW w:w="18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смешанных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инвестиций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36" w:type="dxa"/>
          </w:tcPr>
          <w:p w:rsidR="00F338D7" w:rsidRPr="006D7371" w:rsidRDefault="00F338D7" w:rsidP="00974948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7371">
              <w:rPr>
                <w:sz w:val="20"/>
                <w:szCs w:val="20"/>
              </w:rPr>
              <w:t>Денежные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средства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–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не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более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25%</w:t>
            </w:r>
            <w:r w:rsidR="006D7371" w:rsidRPr="006D7371">
              <w:rPr>
                <w:sz w:val="20"/>
                <w:szCs w:val="20"/>
              </w:rPr>
              <w:t xml:space="preserve"> </w:t>
            </w:r>
          </w:p>
          <w:p w:rsidR="00F338D7" w:rsidRPr="006D7371" w:rsidRDefault="00F338D7" w:rsidP="00974948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7371">
              <w:rPr>
                <w:sz w:val="20"/>
                <w:szCs w:val="20"/>
              </w:rPr>
              <w:t>Государственные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облигации,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облигации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субъектов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Российской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Федерации,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корпоративные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облигации,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акции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российских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ОАО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–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не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менее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70%</w:t>
            </w:r>
            <w:r w:rsidR="006D7371" w:rsidRPr="006D73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Риск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средний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338D7" w:rsidRPr="006D7371" w:rsidTr="00974948">
        <w:trPr>
          <w:tblCellSpacing w:w="0" w:type="dxa"/>
        </w:trPr>
        <w:tc>
          <w:tcPr>
            <w:tcW w:w="18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акций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36" w:type="dxa"/>
          </w:tcPr>
          <w:p w:rsidR="00F338D7" w:rsidRPr="006D7371" w:rsidRDefault="00F338D7" w:rsidP="00974948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7371">
              <w:rPr>
                <w:sz w:val="20"/>
                <w:szCs w:val="20"/>
              </w:rPr>
              <w:t>Денежные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средства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–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не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более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25%</w:t>
            </w:r>
            <w:r w:rsidR="006D7371" w:rsidRPr="006D7371">
              <w:rPr>
                <w:sz w:val="20"/>
                <w:szCs w:val="20"/>
              </w:rPr>
              <w:t xml:space="preserve"> </w:t>
            </w:r>
          </w:p>
          <w:p w:rsidR="00F338D7" w:rsidRPr="006D7371" w:rsidRDefault="00F338D7" w:rsidP="00974948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7371">
              <w:rPr>
                <w:sz w:val="20"/>
                <w:szCs w:val="20"/>
              </w:rPr>
              <w:t>Акции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российских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ОАО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–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не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менее</w:t>
            </w:r>
            <w:r w:rsidR="006D7371" w:rsidRPr="006D7371">
              <w:rPr>
                <w:sz w:val="20"/>
                <w:szCs w:val="20"/>
              </w:rPr>
              <w:t xml:space="preserve"> </w:t>
            </w:r>
            <w:r w:rsidRPr="006D7371">
              <w:rPr>
                <w:sz w:val="20"/>
                <w:szCs w:val="20"/>
              </w:rPr>
              <w:t>50%</w:t>
            </w:r>
            <w:r w:rsidR="006D7371" w:rsidRPr="006D73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338D7" w:rsidRPr="006D7371" w:rsidRDefault="00F338D7" w:rsidP="006D7371">
            <w:pPr>
              <w:pStyle w:val="a7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Риск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высокий</w:t>
            </w:r>
            <w:r w:rsidR="006D7371" w:rsidRPr="006D7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Примечание</w:t>
      </w:r>
    </w:p>
    <w:p w:rsidR="00F338D7" w:rsidRPr="00A16726" w:rsidRDefault="00F338D7" w:rsidP="00974948">
      <w:pPr>
        <w:widowControl w:val="0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допускается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наличие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ОАО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40</w:t>
      </w:r>
      <w:r w:rsidR="006D7371">
        <w:rPr>
          <w:sz w:val="28"/>
          <w:szCs w:val="28"/>
        </w:rPr>
        <w:t xml:space="preserve"> </w:t>
      </w:r>
      <w:r w:rsidR="00974948">
        <w:rPr>
          <w:sz w:val="28"/>
          <w:szCs w:val="28"/>
        </w:rPr>
        <w:t>%)</w:t>
      </w:r>
    </w:p>
    <w:p w:rsidR="00F338D7" w:rsidRPr="00A16726" w:rsidRDefault="00F338D7" w:rsidP="00974948">
      <w:pPr>
        <w:widowControl w:val="0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допускается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наличие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субъектов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корпоративных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40</w:t>
      </w:r>
      <w:r w:rsidR="006D7371">
        <w:rPr>
          <w:sz w:val="28"/>
          <w:szCs w:val="28"/>
        </w:rPr>
        <w:t xml:space="preserve"> </w:t>
      </w:r>
      <w:r w:rsidR="00974948">
        <w:rPr>
          <w:sz w:val="28"/>
          <w:szCs w:val="28"/>
        </w:rPr>
        <w:t>%)</w:t>
      </w:r>
    </w:p>
    <w:p w:rsidR="00974948" w:rsidRDefault="00974948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приоритеты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Считается,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инвестирующие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потенциально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наиболее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прибыльны,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подвержены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наибольшему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сравнению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наименее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рисковыми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капиталовложений.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альтернатива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банковским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Однако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сравнению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другими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категориями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Оптимальное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соотношение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обеспечивают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смешанных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вкладывающие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облигации.</w:t>
      </w:r>
    </w:p>
    <w:p w:rsidR="00974948" w:rsidRDefault="00974948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D749D" w:rsidRPr="00A16726" w:rsidRDefault="00DD749D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Таблица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9B2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F338D7" w:rsidRPr="00A16726" w:rsidRDefault="00B86703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173.25pt">
            <v:imagedata r:id="rId7" o:title=""/>
          </v:shape>
        </w:pict>
      </w:r>
    </w:p>
    <w:p w:rsidR="00F338D7" w:rsidRPr="00A16726" w:rsidRDefault="003859B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br w:type="page"/>
      </w:r>
      <w:r w:rsidR="00F338D7"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Фонды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338D7"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денежного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338D7"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рынка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ориентированы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вложение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облигации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депозиты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банках.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Такой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способ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еще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рисковым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доходным,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облигационные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фонды.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Фонды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фондов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инвестируют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других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сбережения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целому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ряду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схема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обеспечивает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снижение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диверсификации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фокусе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интереса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фондов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недвижимости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понятно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названия,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рынок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недвижимости.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Индексные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Style w:val="a8"/>
          <w:rFonts w:ascii="Times New Roman" w:hAnsi="Times New Roman"/>
          <w:b w:val="0"/>
          <w:color w:val="auto"/>
          <w:sz w:val="28"/>
          <w:szCs w:val="28"/>
        </w:rPr>
        <w:t>фонды</w:t>
      </w:r>
      <w:r w:rsidR="006D7371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осуществляют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вложения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включены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индекс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биржи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(РТС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ММВБ).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стратегии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портфелем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различны.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обеспечивают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Важным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консервативные,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агрессивно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настроенные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самую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главную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выбора.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Важно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помнить,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выбор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основных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решений,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необходимо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потенциальному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инвестору,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решившему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деньги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доверительное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Именно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стратегии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размещения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будет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зависеть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эффективность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Динамика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чистых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объемов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привлечения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открытые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категорий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показывает,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последние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наиболее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востребованными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частных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смешанных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Разобраться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несложно.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механизм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контролируется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Федеральной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службой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финансовым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принимают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несколько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организаций,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обеспечивают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хранение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контроль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действиями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УК.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обязана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заключить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договор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депозитарием,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регистратором,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аудитором,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агентами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выдаче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независимыми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оценщиками.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позволяет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этапах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многосторонний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перекрестный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контроль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действиями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максимально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обезопасить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исключив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ряд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Отметим,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обязательным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требованием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соответствующей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лицензии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процесса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выполняет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функции: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3859B2">
      <w:pPr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привлекает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заключая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договоры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3859B2">
      <w:pPr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играет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ключевую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накоплений;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3859B2">
      <w:pPr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обеспечивает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информационную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прозрачность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раскрывает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информацию,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касающуюся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отчетности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пая;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3859B2">
      <w:pPr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обеспечивает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взаимодействие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организациями,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обслуживающими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депозитарием,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регистратором,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аудитором,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агентами,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оценщиком.</w:t>
      </w:r>
      <w:r w:rsidR="006D7371">
        <w:rPr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хранит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контролирует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операции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очень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простая,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эффективная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сотрудничества: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контролирует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следит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куда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направляет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любом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документе,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связан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расходованием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денежных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подписи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представителей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еще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обратим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внимание,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контроля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разделяются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организациями.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портфелем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компания.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Хранение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надзор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распоряжением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выполняет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Реестр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учитываются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ведет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специальный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регистратор.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Каждый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лицевой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счет,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"историю",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четко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прописаны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операции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паями.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регистратор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ведет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информации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владельцах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количестве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принадлежащих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фиксирует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операции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приобретения,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обмена,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передачи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Ведение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реестра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вправе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юридическое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лицо,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имеющее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лицензию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осуществление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ведению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реестра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владельцев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Следующим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звеном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аудитор.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Аудиторской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проверке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достоверность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требованиям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действующего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подлежат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бухгалтерский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учет,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ведение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составление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отчетности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отношении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составляющего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операций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имуществом.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Приобрести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через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компанию,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через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агентов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выдаче,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погашению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обмену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принимать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внимание,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агент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предоставлять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наличии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соответствующего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договора,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заключенного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компанией,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выданной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доверенности.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механизм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отличается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непосредственно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УК.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удобно,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поскольку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расширяет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географию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делает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доступными.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агенты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предлагать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потенциальным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инвесторам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несколько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выбор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Оценщики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принимают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случаях,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когда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состав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имущества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включены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активы,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недвижимость,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требуется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независимое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экспертное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стоимости.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еще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страховка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вкладчиков,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уверены,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будет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занижен.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F338D7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Сумма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расходов,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связанных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деятельностью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(включая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вознаграждение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аудиторской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независимого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регистратора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независимого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депозитария),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неизменна.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6D7371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нескольких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позволяет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исключить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многие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риски.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Описанный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выше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механизм,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которому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работают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России,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залог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доверия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ним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8D7" w:rsidRPr="00A16726" w:rsidRDefault="00DD749D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тметим,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начинать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путь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рынок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стоит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выбора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компании.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Требуется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обратить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внимание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компании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лицензии,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положительной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репутации,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присвоенных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рейтингов.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Следует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проанализировать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показатели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фондов,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находятся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компании.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показывают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стабильно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высокие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результаты,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свидетельствует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профессионализме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аналитиков,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трейдеров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управляющих,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работающих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УК.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Большое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значение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имеет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информационная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открытость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компании,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перечисленной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информации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сайте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УК.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важно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оценить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репутацию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партнеров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компании,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прежде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всего,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организаций,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выполняют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специализированного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регистратора,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агентов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паевого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8D7" w:rsidRPr="00A16726">
        <w:rPr>
          <w:rFonts w:ascii="Times New Roman" w:hAnsi="Times New Roman" w:cs="Times New Roman"/>
          <w:color w:val="auto"/>
          <w:sz w:val="28"/>
          <w:szCs w:val="28"/>
        </w:rPr>
        <w:t>фонда.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859B2" w:rsidRDefault="003859B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D749D" w:rsidRPr="00A16726" w:rsidRDefault="003859B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DD749D" w:rsidRPr="00A16726">
        <w:rPr>
          <w:rFonts w:ascii="Times New Roman" w:hAnsi="Times New Roman" w:cs="Times New Roman"/>
          <w:color w:val="auto"/>
          <w:sz w:val="28"/>
          <w:szCs w:val="28"/>
        </w:rPr>
        <w:t>Таблица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F338D7" w:rsidRPr="00A16726" w:rsidRDefault="00B86703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i1026" type="#_x0000_t75" alt="Подпись: ИНВЕСТОР    " style="width:412.5pt;height:313.5pt">
            <v:imagedata r:id="rId8" o:title=""/>
          </v:shape>
        </w:pict>
      </w:r>
    </w:p>
    <w:p w:rsidR="003859B2" w:rsidRDefault="003859B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10004" w:rsidRPr="00A16726" w:rsidRDefault="00C10004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§1.1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</w:p>
    <w:p w:rsidR="003859B2" w:rsidRDefault="003859B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82752" w:rsidRPr="00A16726" w:rsidRDefault="00C8275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появились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1996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году.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отечественный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рынок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разменял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второй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десяток.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82752" w:rsidRPr="00A16726" w:rsidRDefault="00C8275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сразу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обрели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мощную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законодательную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поддержку: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Федеральная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комиссия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настоящее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Федеральная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служба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финансовым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России)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приняла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правовую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базу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того,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чтобы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интересы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защищены,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носила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прозрачный,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предсказуемый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регламентированный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характер.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82752" w:rsidRPr="00A16726" w:rsidRDefault="00C8275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Ключевыми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принципами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функционирования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закрепленными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нормативными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документами,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являются: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82752" w:rsidRPr="00A16726" w:rsidRDefault="00C82752" w:rsidP="003859B2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разделение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(управляющая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хранения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(специализированный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депозитарий);</w:t>
      </w:r>
      <w:r w:rsidR="006D7371">
        <w:rPr>
          <w:sz w:val="28"/>
          <w:szCs w:val="28"/>
        </w:rPr>
        <w:t xml:space="preserve"> </w:t>
      </w:r>
    </w:p>
    <w:p w:rsidR="00C82752" w:rsidRPr="00A16726" w:rsidRDefault="00C82752" w:rsidP="003859B2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закрепление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депозитарием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функции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контроля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распоряжением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фонда;</w:t>
      </w:r>
      <w:r w:rsidR="006D7371">
        <w:rPr>
          <w:sz w:val="28"/>
          <w:szCs w:val="28"/>
        </w:rPr>
        <w:t xml:space="preserve"> </w:t>
      </w:r>
    </w:p>
    <w:p w:rsidR="00C82752" w:rsidRPr="00A16726" w:rsidRDefault="00C82752" w:rsidP="003859B2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государственное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регулирование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контроль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деятельностью;</w:t>
      </w:r>
      <w:r w:rsidR="006D7371">
        <w:rPr>
          <w:sz w:val="28"/>
          <w:szCs w:val="28"/>
        </w:rPr>
        <w:t xml:space="preserve"> </w:t>
      </w:r>
    </w:p>
    <w:p w:rsidR="00C82752" w:rsidRPr="00A16726" w:rsidRDefault="00C82752" w:rsidP="003859B2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раскрытие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информации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компании;</w:t>
      </w:r>
      <w:r w:rsidR="006D7371">
        <w:rPr>
          <w:sz w:val="28"/>
          <w:szCs w:val="28"/>
        </w:rPr>
        <w:t xml:space="preserve"> </w:t>
      </w:r>
    </w:p>
    <w:p w:rsidR="00C82752" w:rsidRPr="00A16726" w:rsidRDefault="00C82752" w:rsidP="003859B2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установление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квалификационных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работникам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депозитария.</w:t>
      </w:r>
      <w:r w:rsidR="006D7371">
        <w:rPr>
          <w:sz w:val="28"/>
          <w:szCs w:val="28"/>
        </w:rPr>
        <w:t xml:space="preserve"> </w:t>
      </w:r>
    </w:p>
    <w:p w:rsidR="00C82752" w:rsidRPr="00A16726" w:rsidRDefault="00C8275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Этот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опыт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оказался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весьма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успешным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прошел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главную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проверку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кризисом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1998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когда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один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прекратил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существование.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дальнейшем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было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случая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обмана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пайщиков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невыполнения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обязательств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компаниями.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После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кризиса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1998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экономика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восстанавливаться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быстрыми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темпами.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учетом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того,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валютные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сбережения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долларах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евро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сохраняли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населения,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вектор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интереса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сместился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сторону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Мощный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импульс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развитию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коллективных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придало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принятие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«Об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фондах»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2001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156-ФЗ.</w:t>
      </w:r>
    </w:p>
    <w:p w:rsidR="00C82752" w:rsidRPr="00A16726" w:rsidRDefault="00C8275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Высокий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стабильный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экономический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привел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увеличению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населения,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требуется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профессиональное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Появилось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людей,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желающих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регулярно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откладывать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сумму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денег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долгосрочные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финансовые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условиях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передача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доверительное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стала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востребованным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способом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сохранения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приумножения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капитала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частных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инвесторов,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населения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Федерации.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82752" w:rsidRPr="00A16726" w:rsidRDefault="00C82752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Высокая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прозрачность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инвестиционных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сравнению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традиционными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банковскими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сделали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инструментом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номер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один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Бурный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взлет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коллективного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инвестирования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популярность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объясняются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информированностью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населения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доступностью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вложений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паевые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859B2" w:rsidRDefault="003859B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D0231" w:rsidRPr="00A16726" w:rsidRDefault="001D023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§1.2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Исторический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профиль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</w:p>
    <w:p w:rsidR="00DE794E" w:rsidRPr="00A16726" w:rsidRDefault="00DE794E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короткий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начиная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50-х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столетия,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«западная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классическая»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распространение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экономистов,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обычно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говорят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революционном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выпущены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академические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учебники,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читаются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курсы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ведущих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вузах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мира,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проводятся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научные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разработки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защищаются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диссертации.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неразрывно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понятием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понятия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экономической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точки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зрения.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понимается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вероятность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возникновения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недополучения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прогнозируемым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вариантом</w:t>
      </w:r>
      <w:r w:rsidRPr="00A16726">
        <w:rPr>
          <w:rStyle w:val="a6"/>
          <w:sz w:val="28"/>
          <w:szCs w:val="28"/>
        </w:rPr>
        <w:footnoteReference w:id="10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Обычно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содержит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означает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свойствам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потерь.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диверсифицируется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достигнуты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задачей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минимизация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максимизация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Нынешнее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состояние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быстро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адекватно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реагировать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="00DE794E"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возрастает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заключается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нахождении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грани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ликвидностью,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рискованностью,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позволила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выбрать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служат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Рассмотрим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известных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Начальный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20-30-м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ХХ-го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столетия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зарождения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науки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представлен,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прежде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основополагающими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Фишера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процентной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приведенной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Важная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особенность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теоретических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довоенного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состоит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выработке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гипотезы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принятия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несмотря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господство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«детерминированного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подхода»,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неопределенности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сознавалась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вполне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четко.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применение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качественных,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теоретико-вероятностных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позволило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продвинуться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исследовании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влияния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принятие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название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«современная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инвестиций».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Основным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набора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наибольшим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наименьшем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отличие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традиционного,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«многомерен»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вовлекаемых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учитываемым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характеристикам.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Существенным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взаимных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корреляционных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менеджерам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снижающую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Наличие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хорошо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разработанных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вычислительной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техники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построения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десятками,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тысячами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хотя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далеко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закончен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продолжаются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обсуждение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поводу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принципов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влияние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постоянно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растет</w:t>
      </w:r>
      <w:r w:rsidRPr="00A16726">
        <w:rPr>
          <w:rStyle w:val="a6"/>
          <w:sz w:val="28"/>
          <w:szCs w:val="28"/>
        </w:rPr>
        <w:footnoteReference w:id="11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понимания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постулатов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классической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столкнулись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профессиональные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формировании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сверхрискованного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</w:p>
    <w:p w:rsidR="001D0231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Основу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впервые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сформулировал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50-х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Гарри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Согласно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статистических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обоснования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квадрат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стандартного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отклонения,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дисперсия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Второй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—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корреляция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согласно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концепции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достигается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комбинации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отрицательную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слабоположительную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корреляцию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отдачи.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параметр,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регрессии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измеряет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колебания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формуле</w:t>
      </w:r>
      <w:r w:rsidRPr="00A16726">
        <w:rPr>
          <w:rStyle w:val="a6"/>
          <w:sz w:val="28"/>
          <w:szCs w:val="28"/>
        </w:rPr>
        <w:footnoteReference w:id="12"/>
      </w:r>
    </w:p>
    <w:p w:rsidR="003859B2" w:rsidRPr="00A16726" w:rsidRDefault="003859B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59B2" w:rsidRDefault="00B8670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81pt;height:35.25pt">
            <v:imagedata r:id="rId9" o:title=""/>
          </v:shape>
        </w:pict>
      </w:r>
      <w:r w:rsidR="001D0231" w:rsidRPr="00A16726">
        <w:rPr>
          <w:sz w:val="28"/>
          <w:szCs w:val="28"/>
        </w:rPr>
        <w:t>,</w:t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DE794E" w:rsidRPr="00A16726">
        <w:rPr>
          <w:sz w:val="28"/>
          <w:szCs w:val="28"/>
        </w:rPr>
        <w:t>(2)</w:t>
      </w:r>
    </w:p>
    <w:p w:rsidR="001D0231" w:rsidRPr="00A16726" w:rsidRDefault="001D023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где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Cov(</w:t>
      </w:r>
      <w:r w:rsidR="00B86703">
        <w:rPr>
          <w:sz w:val="28"/>
          <w:szCs w:val="28"/>
        </w:rPr>
        <w:pict>
          <v:shape id="_x0000_i1028" type="#_x0000_t75" style="width:12.75pt;height:18pt">
            <v:imagedata r:id="rId10" o:title=""/>
          </v:shape>
        </w:pict>
      </w:r>
      <w:r w:rsidRPr="00A16726">
        <w:rPr>
          <w:sz w:val="28"/>
          <w:szCs w:val="28"/>
        </w:rPr>
        <w:t>,</w:t>
      </w:r>
      <w:r w:rsidR="00B86703">
        <w:rPr>
          <w:sz w:val="28"/>
          <w:szCs w:val="28"/>
        </w:rPr>
        <w:pict>
          <v:shape id="_x0000_i1029" type="#_x0000_t75" style="width:12pt;height:18pt">
            <v:imagedata r:id="rId11" o:title=""/>
          </v:shape>
        </w:pict>
      </w:r>
      <w:r w:rsidRPr="00A16726">
        <w:rPr>
          <w:sz w:val="28"/>
          <w:szCs w:val="28"/>
        </w:rPr>
        <w:t>)—ковариация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</w:p>
    <w:p w:rsidR="001D0231" w:rsidRPr="00A16726" w:rsidRDefault="00B8670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5.75pt;height:17.25pt">
            <v:imagedata r:id="rId12" o:title=""/>
          </v:shape>
        </w:pict>
      </w:r>
      <w:r w:rsidR="001D0231" w:rsidRPr="00A16726">
        <w:rPr>
          <w:sz w:val="28"/>
          <w:szCs w:val="28"/>
        </w:rPr>
        <w:t>—стандартное</w:t>
      </w:r>
      <w:r w:rsidR="006D7371">
        <w:rPr>
          <w:sz w:val="28"/>
          <w:szCs w:val="28"/>
        </w:rPr>
        <w:t xml:space="preserve"> </w:t>
      </w:r>
      <w:r w:rsidR="001D0231" w:rsidRPr="00A16726">
        <w:rPr>
          <w:sz w:val="28"/>
          <w:szCs w:val="28"/>
        </w:rPr>
        <w:t>отклонение</w:t>
      </w:r>
      <w:r w:rsidR="006D7371">
        <w:rPr>
          <w:sz w:val="28"/>
          <w:szCs w:val="28"/>
        </w:rPr>
        <w:t xml:space="preserve"> </w:t>
      </w:r>
      <w:r w:rsidR="001D0231"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="001D0231" w:rsidRPr="00A16726">
        <w:rPr>
          <w:sz w:val="28"/>
          <w:szCs w:val="28"/>
        </w:rPr>
        <w:t>рынка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разработал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очень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положение,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гласит,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совокупный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разложить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стороны,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называемый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систематический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нельзя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исключить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подвержены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Систематический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низким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специфический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избежать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помощи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сумма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сложенных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сумма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относительных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X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равняться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единице.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достижением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современной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специфического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соотношения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недиверсифицируемого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предпосылка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такова: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активы.</w:t>
      </w:r>
      <w:r w:rsidR="006D7371">
        <w:rPr>
          <w:sz w:val="28"/>
          <w:szCs w:val="28"/>
        </w:rPr>
        <w:t xml:space="preserve"> </w:t>
      </w:r>
    </w:p>
    <w:p w:rsidR="001D0231" w:rsidRPr="00A16726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Влияние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усилилось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конце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50-х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начале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60-х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Д.Тобина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аналогичным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темам.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Здесь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отметить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Тобина.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лежит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микроэкономического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поскольку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акцентирует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внимание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поведении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формирующего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оптимальный,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точки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зрения,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собственной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выбираемых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первоначально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касалась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Тобин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предложил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макроэкономическим,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поскольку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изучения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распределение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совокупного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двум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формам: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наличной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(денежной)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неналичной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делался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экономическом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исходных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постулатов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математическом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следствий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разработке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алгоритмов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оптимизационных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задач.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Тобина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становится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заставляющих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формировать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держать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какой-либо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налично-денежной,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Тобин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проанализировал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адекватность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количественных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характеристик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исходные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Тобина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чрезвычайно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упростило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т.к.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Единственное,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меняется,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решаете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</w:t>
      </w:r>
      <w:r w:rsidRPr="00A16726">
        <w:rPr>
          <w:rStyle w:val="a6"/>
          <w:sz w:val="28"/>
          <w:szCs w:val="28"/>
        </w:rPr>
        <w:footnoteReference w:id="13"/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1964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открывшие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называемой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САРМ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(Capital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Asset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Price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Model),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разработанную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У.Шарпом,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Дж.Линтнером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Дж.Трейнером.</w:t>
      </w:r>
      <w:r w:rsidR="006D7371">
        <w:rPr>
          <w:sz w:val="28"/>
          <w:szCs w:val="28"/>
        </w:rPr>
        <w:t xml:space="preserve"> </w:t>
      </w:r>
    </w:p>
    <w:p w:rsidR="001D0231" w:rsidRDefault="001D023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Основная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идея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заключается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конкурентном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премия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прямо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пропорционально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узнать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влияние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нужно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учитывать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себе,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чувствительности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обозначается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располагаться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вдоль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наклонной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называемой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(security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market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line).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описывается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уравнением</w:t>
      </w:r>
      <w:r w:rsidRPr="00A16726">
        <w:rPr>
          <w:rStyle w:val="a6"/>
          <w:sz w:val="28"/>
          <w:szCs w:val="28"/>
        </w:rPr>
        <w:footnoteReference w:id="14"/>
      </w:r>
      <w:r w:rsidR="003D1FEB" w:rsidRPr="00A16726">
        <w:rPr>
          <w:sz w:val="28"/>
          <w:szCs w:val="28"/>
        </w:rPr>
        <w:t>:</w:t>
      </w:r>
    </w:p>
    <w:p w:rsidR="009824C9" w:rsidRPr="00A16726" w:rsidRDefault="009824C9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1FEB" w:rsidRPr="00A16726" w:rsidRDefault="00B86703" w:rsidP="009824C9">
      <w:pPr>
        <w:widowControl w:val="0"/>
        <w:tabs>
          <w:tab w:val="left" w:pos="2263"/>
          <w:tab w:val="left" w:pos="498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89.25pt;height:18.75pt">
            <v:imagedata r:id="rId13" o:title=""/>
          </v:shape>
        </w:pict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>
        <w:rPr>
          <w:sz w:val="28"/>
          <w:szCs w:val="28"/>
        </w:rPr>
        <w:tab/>
      </w:r>
      <w:r w:rsidR="003859B2" w:rsidRPr="00A16726">
        <w:rPr>
          <w:sz w:val="28"/>
          <w:szCs w:val="28"/>
        </w:rPr>
        <w:t>(3)</w:t>
      </w:r>
    </w:p>
    <w:p w:rsidR="003D1FEB" w:rsidRPr="00A16726" w:rsidRDefault="003D1FE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где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</w:t>
      </w:r>
      <w:r w:rsidR="006D7371">
        <w:rPr>
          <w:sz w:val="28"/>
          <w:szCs w:val="28"/>
          <w:vertAlign w:val="subscript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актива;</w:t>
      </w:r>
      <w:r w:rsidR="006D7371">
        <w:rPr>
          <w:sz w:val="28"/>
          <w:szCs w:val="28"/>
        </w:rPr>
        <w:t xml:space="preserve"> </w:t>
      </w:r>
    </w:p>
    <w:p w:rsidR="003D1FEB" w:rsidRPr="00A16726" w:rsidRDefault="003D1FE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r</w:t>
      </w:r>
      <w:r w:rsidRPr="00A16726">
        <w:rPr>
          <w:sz w:val="28"/>
          <w:szCs w:val="28"/>
          <w:vertAlign w:val="subscript"/>
        </w:rPr>
        <w:t>m</w:t>
      </w:r>
      <w:r w:rsidR="006D7371">
        <w:rPr>
          <w:sz w:val="28"/>
          <w:szCs w:val="28"/>
          <w:vertAlign w:val="subscript"/>
        </w:rPr>
        <w:t xml:space="preserve"> </w:t>
      </w:r>
      <w:r w:rsidRPr="00A16726">
        <w:rPr>
          <w:sz w:val="28"/>
          <w:szCs w:val="28"/>
        </w:rPr>
        <w:t>–доходность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среднерыночного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портфеля;</w:t>
      </w:r>
      <w:r w:rsidR="006D7371">
        <w:rPr>
          <w:sz w:val="28"/>
          <w:szCs w:val="28"/>
        </w:rPr>
        <w:t xml:space="preserve"> </w:t>
      </w:r>
    </w:p>
    <w:p w:rsidR="003D1FEB" w:rsidRPr="00A16726" w:rsidRDefault="003D1FE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ß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«бета».</w:t>
      </w:r>
      <w:r w:rsidR="006D7371">
        <w:rPr>
          <w:sz w:val="28"/>
          <w:szCs w:val="28"/>
        </w:rPr>
        <w:t xml:space="preserve"> </w:t>
      </w:r>
    </w:p>
    <w:p w:rsidR="00FD17CB" w:rsidRPr="00A16726" w:rsidRDefault="003D1FE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комбинация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обыкновенных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инвестор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оценивает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перспективы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каждой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акции,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отношения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риску.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инвесторы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располагают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какой-либо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информацией,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им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следует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держать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такой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акций,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других,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иначе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говоря,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им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следует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держать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рыночный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бумаг.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Модель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САРМ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рассматривать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макроэкономическое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обобщение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САРМ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явилось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соотношения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равновесного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учитывать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Марковицу),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называемую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систематическим,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недиверсифицируемым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количественно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введенным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Шарпом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однофакторной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называемый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несистематический,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диверсифицируемый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устраняется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соответствующего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линейной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зависимости,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обычное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«большая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точное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аналитическое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представление.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Альтернативная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выдвинута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Дугласом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Бриденом</w:t>
      </w:r>
      <w:r w:rsidRPr="00A16726">
        <w:rPr>
          <w:rStyle w:val="a6"/>
          <w:sz w:val="28"/>
          <w:szCs w:val="28"/>
        </w:rPr>
        <w:footnoteReference w:id="15"/>
      </w:r>
      <w:r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измеряется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чувствительностью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потребления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перемещаться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«беты»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потребления,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вдоль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стандартной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исключительно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величина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неопределенность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будущего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богатства.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Богатство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конечном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коррелирует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спрос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потребительской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версии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неопределенность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непосредственно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неопределенностью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потребления.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наконец,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арбитражного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ценообразования,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разработанная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Стивеном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Россом</w:t>
      </w:r>
      <w:r w:rsidRPr="00A16726">
        <w:rPr>
          <w:rStyle w:val="a6"/>
          <w:sz w:val="28"/>
          <w:szCs w:val="28"/>
        </w:rPr>
        <w:footnoteReference w:id="16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долгосрочных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начинается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формируют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отталкивается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совершенно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другого.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начинается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допущения,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частично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всеобщих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макроэкономических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частично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«помех»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событий,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касающихся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уточняет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чувствительны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какому-то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любой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источника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всеобщими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макроэкономическими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индивидуальный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премию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оказывают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влияние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«макроэкономический»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влияет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индивидуальный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устранен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помощью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арбитражного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ценообразования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гласит,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арбитражных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операциях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премия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премии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чувствительност</w:t>
      </w:r>
      <w:r w:rsidR="00DE794E"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="00DE794E"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="00DE794E"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="00DE794E" w:rsidRPr="00A16726">
        <w:rPr>
          <w:sz w:val="28"/>
          <w:szCs w:val="28"/>
        </w:rPr>
        <w:t>каждому</w:t>
      </w:r>
      <w:r w:rsidR="006D7371">
        <w:rPr>
          <w:sz w:val="28"/>
          <w:szCs w:val="28"/>
        </w:rPr>
        <w:t xml:space="preserve"> </w:t>
      </w:r>
      <w:r w:rsidR="00DE794E"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="00DE794E" w:rsidRPr="00A16726">
        <w:rPr>
          <w:sz w:val="28"/>
          <w:szCs w:val="28"/>
        </w:rPr>
        <w:t>факторов.</w:t>
      </w:r>
    </w:p>
    <w:p w:rsidR="003859B2" w:rsidRDefault="003859B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Ожидаемая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премия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=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r-r</w:t>
      </w:r>
      <w:r w:rsidRPr="00A16726">
        <w:rPr>
          <w:sz w:val="28"/>
          <w:szCs w:val="28"/>
          <w:vertAlign w:val="subscript"/>
        </w:rPr>
        <w:t>f</w:t>
      </w:r>
      <w:r w:rsidR="006D7371">
        <w:rPr>
          <w:sz w:val="28"/>
          <w:szCs w:val="28"/>
          <w:vertAlign w:val="subscript"/>
        </w:rPr>
        <w:t xml:space="preserve"> </w:t>
      </w:r>
      <w:r w:rsidRPr="00A16726">
        <w:rPr>
          <w:sz w:val="28"/>
          <w:szCs w:val="28"/>
        </w:rPr>
        <w:t>=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ß</w:t>
      </w:r>
      <w:r w:rsidRPr="00A16726">
        <w:rPr>
          <w:sz w:val="28"/>
          <w:szCs w:val="28"/>
          <w:vertAlign w:val="subscript"/>
        </w:rPr>
        <w:t>1</w:t>
      </w:r>
      <w:r w:rsidRPr="00A16726">
        <w:rPr>
          <w:sz w:val="28"/>
          <w:szCs w:val="28"/>
        </w:rPr>
        <w:t>(r</w:t>
      </w:r>
      <w:r w:rsidRPr="00A16726">
        <w:rPr>
          <w:sz w:val="28"/>
          <w:szCs w:val="28"/>
          <w:vertAlign w:val="subscript"/>
        </w:rPr>
        <w:t>......1</w:t>
      </w:r>
      <w:r w:rsidRPr="00A16726">
        <w:rPr>
          <w:sz w:val="28"/>
          <w:szCs w:val="28"/>
        </w:rPr>
        <w:t>-rf)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+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ß</w:t>
      </w:r>
      <w:r w:rsidRPr="00A16726">
        <w:rPr>
          <w:sz w:val="28"/>
          <w:szCs w:val="28"/>
          <w:vertAlign w:val="subscript"/>
        </w:rPr>
        <w:t>2</w:t>
      </w:r>
      <w:r w:rsidRPr="00A16726">
        <w:rPr>
          <w:sz w:val="28"/>
          <w:szCs w:val="28"/>
        </w:rPr>
        <w:t>(r</w:t>
      </w:r>
      <w:r w:rsidRPr="00A16726">
        <w:rPr>
          <w:sz w:val="28"/>
          <w:szCs w:val="28"/>
          <w:vertAlign w:val="subscript"/>
        </w:rPr>
        <w:t>......2</w:t>
      </w:r>
      <w:r w:rsidRPr="00A16726">
        <w:rPr>
          <w:sz w:val="28"/>
          <w:szCs w:val="28"/>
        </w:rPr>
        <w:t>-rf)+…</w:t>
      </w:r>
      <w:r w:rsidR="006D7371">
        <w:rPr>
          <w:sz w:val="28"/>
          <w:szCs w:val="28"/>
        </w:rPr>
        <w:t xml:space="preserve"> </w:t>
      </w:r>
      <w:r w:rsidR="003859B2">
        <w:rPr>
          <w:sz w:val="28"/>
          <w:szCs w:val="28"/>
        </w:rPr>
        <w:tab/>
      </w:r>
      <w:r w:rsidRPr="00A16726">
        <w:rPr>
          <w:sz w:val="28"/>
          <w:szCs w:val="28"/>
        </w:rPr>
        <w:t>(4)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вышеназванных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ряд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факторах,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D17CB" w:rsidRDefault="003859B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E9288E">
        <w:rPr>
          <w:sz w:val="28"/>
          <w:szCs w:val="28"/>
        </w:rPr>
        <w:t xml:space="preserve"> </w:t>
      </w:r>
      <w:r>
        <w:rPr>
          <w:sz w:val="28"/>
          <w:szCs w:val="28"/>
        </w:rPr>
        <w:t>1.3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Законодательное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регулирование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="00FD17CB" w:rsidRPr="00A16726">
        <w:rPr>
          <w:sz w:val="28"/>
          <w:szCs w:val="28"/>
        </w:rPr>
        <w:t>фонда</w:t>
      </w:r>
    </w:p>
    <w:p w:rsidR="003859B2" w:rsidRPr="00A16726" w:rsidRDefault="003859B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Отрасль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отрегулирована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жестко.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особой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аккумулирования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ресурсов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мелких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предприняты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1995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Указ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Президента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26.07.95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№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765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дополнительных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мерах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политики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Федерации».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Принимаемые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последующем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нормативные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комиссии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регулировали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подробно.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стимул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институтов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коллективного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придало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принятие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фондах»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№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156-ФЗ,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вступил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силу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4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декабря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Согласно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законодательству,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регламентированы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Постановлением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ФКЦБ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№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31/пс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утверждении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положения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акционерных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14.08.2002.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запрещено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аккумулированные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приобретение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операции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абсолютно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прозрачны.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Несмотря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запрещено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ряд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срочные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контракты,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векселя,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банковские),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сомнения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вкладчики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дополнительные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гарантии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надежности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Страховкой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принудительной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нарушения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устранены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позднее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месяцев.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особенности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предпосылками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непривычному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россиян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институту.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Требования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рассмотрены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Приложении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работе.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Согласно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Положению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стандартный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запрещается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приобретать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движимого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имущества</w:t>
      </w:r>
      <w:r w:rsidRPr="00A16726">
        <w:rPr>
          <w:rStyle w:val="a6"/>
          <w:sz w:val="28"/>
          <w:szCs w:val="28"/>
        </w:rPr>
        <w:footnoteReference w:id="17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Открытые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смешанного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держать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широком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перечне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муниципальные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выделить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семейство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ОАО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«Управляющая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«КИТ»: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нефть,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электроэнергетика,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телекоммуникации.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Открытые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смешанные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запрещены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деклараций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свидетельствует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приоритетными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простые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привилегированные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обращающиеся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организованном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Исключение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«Базовый»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Эссет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Менеджмент,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2004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64%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некотируемыми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биржах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обыкновенными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акциями.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100%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держат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привилегированных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«Добрыня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Никитич»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90%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держит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привилегированных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ведущих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эмитентов).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касается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несмотря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широту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заявленного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спектра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предпочитают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вкладываться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корпоративных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эмитентов,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обращающихся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организованном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хотя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выражена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фиксированной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демонстрирует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«ЛУКОЙЛ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консервативный».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половине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2004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муниципальные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46%,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ОФЗ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14%,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корпоративные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приходилось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22%.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отличие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акционерных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обращающихся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организованном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Структура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повторяет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отличие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обыкновенные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акционерных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деклараций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демонстрирует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приверженного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привилегированные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приходится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нерыночные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придерживается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индивидуальной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пересекающейся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Согласно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Положению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ФКЦБ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№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31/пс,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соответствующей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категории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нахождения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набора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периода.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Законодательными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нормативными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регламентируется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порядок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категории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комплекс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сложное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образование,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включающее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перечисленные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обращаются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организованном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создаваться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регулируется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жестко.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иностранную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валюту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Минимальная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оценочной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аналогичной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3%.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Важно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заметить,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регламентация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подвержена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сокращения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неблагоприятной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конъюнктуры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упадут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убыток.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понимается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множество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процентный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валютный,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специфический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обусловленный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производственной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нормативными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ФКЦБ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лимиты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классы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внутри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классов.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35%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регионального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выпуска.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Очевидно,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подобная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приобретение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отраслей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снизить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присущие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отдельным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лимитов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свести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нулю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принципе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невозможно</w:t>
      </w:r>
      <w:r w:rsidR="00B81FFC" w:rsidRPr="00A16726">
        <w:rPr>
          <w:rStyle w:val="a6"/>
          <w:sz w:val="28"/>
          <w:szCs w:val="28"/>
        </w:rPr>
        <w:footnoteReference w:id="18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Риски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заключаются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какой-то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покупателей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совпадать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«справедливой»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стоимостью.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оценить,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анализируя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декларацию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отчетам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нормативными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ФКЦБ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лимиты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неликвидные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признаваемых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котировок,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превышать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10%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фонда».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любого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обязательно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содержится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декларация,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регламентирующая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указано,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пропорциях,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приводится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описание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инвестирования.</w:t>
      </w:r>
      <w:r w:rsidR="006D7371">
        <w:rPr>
          <w:sz w:val="28"/>
          <w:szCs w:val="28"/>
        </w:rPr>
        <w:t xml:space="preserve"> </w:t>
      </w:r>
    </w:p>
    <w:p w:rsidR="00FD17CB" w:rsidRPr="00A16726" w:rsidRDefault="00FD17CB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текущий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перспективы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конъюнктурой.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сильную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попадают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биржевыми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ориентирующимися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Успехи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макроэкономическими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темпами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промышленного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роста.</w:t>
      </w:r>
      <w:r w:rsidR="006D7371">
        <w:rPr>
          <w:sz w:val="28"/>
          <w:szCs w:val="28"/>
        </w:rPr>
        <w:t xml:space="preserve"> </w:t>
      </w:r>
    </w:p>
    <w:p w:rsidR="003859B2" w:rsidRDefault="003859B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§</w:t>
      </w:r>
      <w:r w:rsidR="00E9288E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1.4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</w:p>
    <w:p w:rsidR="009A1645" w:rsidRPr="00A16726" w:rsidRDefault="009A1645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Основным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преимуществом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задач.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Рассмотрим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ниже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стратегии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паевыми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инвестиционными</w:t>
      </w:r>
      <w:r w:rsidR="006D7371">
        <w:rPr>
          <w:sz w:val="28"/>
          <w:szCs w:val="28"/>
        </w:rPr>
        <w:t xml:space="preserve"> </w:t>
      </w:r>
      <w:r w:rsidR="009A1645" w:rsidRPr="00A16726">
        <w:rPr>
          <w:sz w:val="28"/>
          <w:szCs w:val="28"/>
        </w:rPr>
        <w:t>фондами.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Агрессивная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нацелена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входят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молодых,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быстрорастущих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высокодоходные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небольших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эмитентов,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венчурных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т.д.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вместе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приносить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присуща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Консервативная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рискованной.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состоит,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крупных,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хорошо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известных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характеризующихся,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хотя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невысокими,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устойчивыми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темпами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курсовой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стабильным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нацелен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сохранение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защитить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инфляции.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большинство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Умеренная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подразумевает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умеренного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сочетание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агрессивного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консервативного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наряду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надежными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приобретаемыми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длительный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срок,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обновляется.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обеспечивается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умеренная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Надежность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обеспечивается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консервативного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агрессивного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обыкновенные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привилегированные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конъюнктуры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включенные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популярностью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склонных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смешанных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</w:p>
    <w:p w:rsidR="003859B2" w:rsidRDefault="003859B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§</w:t>
      </w:r>
      <w:r w:rsidR="00E9288E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1.5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</w:p>
    <w:p w:rsidR="003859B2" w:rsidRPr="00A16726" w:rsidRDefault="003859B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Известно,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предъявляется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менеджеру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особенно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актуальна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изменчив,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понимается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применение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совокупности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технологических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возможностей,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сохранить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первоначально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достигнуть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обеспечить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Иначе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сохранение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соответствовали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держателя.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Первым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дорогостоящих,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трудоемких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элементов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мониторинг,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непрерывный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детальный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тенденций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секторов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Конечной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мониторинга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обладающих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свойствами,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соответствующими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Мониторинг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активного,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пассивного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Менеджер,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занимающийся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суметь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отследить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быстро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избавиться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низкодоходных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допустить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потерю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следовательно,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сопоставлять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характеристики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«нового»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учитывать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вновь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приобретенные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продаваемые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низкодоходные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аналогичными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характеристиками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имеющегося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«старого»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затрат,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информационной,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аналитической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экспертной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торговой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широкую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базу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экспертных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самостоятельный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прогнозы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состояния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искусства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менеджера,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следовательно,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комиссионное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прибыли.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Управляющий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обеспечивая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наилучшего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варианта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соотношения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риск-доходность.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находится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обладающий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проведения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оптимизации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нахождение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носит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негативный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минимизирован.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Отечественный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котировок,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динамичностью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считать,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состоянию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адекватна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мониторинга,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строятся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большинства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ПИФов.</w:t>
      </w:r>
    </w:p>
    <w:p w:rsidR="003D1FEB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Пассивное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предполагает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хорошо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диверсифицированных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заранее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длительную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перспективу.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отражающий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движение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выбранного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биржевого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характеризующего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состояние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Pr="00A16726">
        <w:rPr>
          <w:rStyle w:val="a6"/>
          <w:sz w:val="28"/>
          <w:szCs w:val="28"/>
        </w:rPr>
        <w:footnoteReference w:id="19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отражать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движение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весу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подсчете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Главной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задачей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воспроизведение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периодической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корректировкой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через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промежуток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времени.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отклонениям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производиться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10%.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Очевидно,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наибольшие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принадлежать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«голубым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фишкам»,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наибольшие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обороты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бирже.</w:t>
      </w:r>
      <w:r w:rsidR="006D7371">
        <w:rPr>
          <w:sz w:val="28"/>
          <w:szCs w:val="28"/>
        </w:rPr>
        <w:t xml:space="preserve"> </w:t>
      </w:r>
    </w:p>
    <w:p w:rsidR="001D0231" w:rsidRPr="000E3C65" w:rsidRDefault="00E9288E" w:rsidP="00E9288E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0E3C65">
        <w:rPr>
          <w:color w:val="FFFFFF"/>
          <w:sz w:val="28"/>
          <w:szCs w:val="28"/>
        </w:rPr>
        <w:t>управление паевой инвестиционный фонд доверительный</w:t>
      </w:r>
    </w:p>
    <w:p w:rsidR="008C5104" w:rsidRPr="00A16726" w:rsidRDefault="003859B2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81FFC" w:rsidRPr="00A16726">
        <w:rPr>
          <w:sz w:val="28"/>
          <w:szCs w:val="28"/>
        </w:rPr>
        <w:t>Глава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2.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Формирование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концептуального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подхода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разработка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модели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«УК»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МАГИСТР»</w:t>
      </w:r>
    </w:p>
    <w:p w:rsidR="009A1645" w:rsidRPr="00A16726" w:rsidRDefault="009A1645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008A" w:rsidRPr="00A16726" w:rsidRDefault="003859B2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E9288E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Основные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показатели,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используемые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паевым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примере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«УК»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МАГИСТР»</w:t>
      </w:r>
    </w:p>
    <w:p w:rsidR="009A1645" w:rsidRPr="00A16726" w:rsidRDefault="009A1645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Одними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главных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потенциальных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ввиду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расширения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рассмотреть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сравнивает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конкурентами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Проводимая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непосредственно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просто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отчитаться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нормативные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посмотреть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формально,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разнообразные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критерии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</w:t>
      </w:r>
      <w:r w:rsidR="009A1645" w:rsidRPr="00A16726">
        <w:rPr>
          <w:sz w:val="28"/>
          <w:szCs w:val="28"/>
        </w:rPr>
        <w:t>онными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9A1645" w:rsidRPr="00A16726">
        <w:rPr>
          <w:sz w:val="28"/>
          <w:szCs w:val="28"/>
        </w:rPr>
        <w:t>ами</w:t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конечная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цикла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начальная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цикла.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призваны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обозначить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правильность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выбранной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менеджером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тактики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служат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информацией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корректировки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ошибок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ключевых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цикла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проведения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зависит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окончательный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</w:t>
      </w:r>
      <w:r w:rsidR="00A3008A" w:rsidRPr="00A16726">
        <w:rPr>
          <w:rStyle w:val="a6"/>
          <w:sz w:val="28"/>
          <w:szCs w:val="28"/>
        </w:rPr>
        <w:footnoteReference w:id="20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применяться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понять,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оказалась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сравнивать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типа.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выделяются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показатели:</w:t>
      </w:r>
    </w:p>
    <w:p w:rsidR="00B81FFC" w:rsidRPr="00A16726" w:rsidRDefault="00B81FFC" w:rsidP="003859B2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динамике,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динамика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количества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3859B2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3859B2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Оценка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3859B2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Соотношение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динамике.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обязательствами,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основополагающим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он: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9824C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служит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9824C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базы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организаций,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оказывающих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услуги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фонду;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9824C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смысле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служит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мерой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"богатства",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владеет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Разница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выкупа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окажется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отрицательной,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убытки,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неудачного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акциями,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принимает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себя.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Здесь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надбавок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скидок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нагрузки,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поскольку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варианты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надбавок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скидок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невозможно.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свидетельствуют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расширение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вкладчиков.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Увеличение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стороны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очень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характеризующих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успешное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</w:p>
    <w:p w:rsidR="009A1645" w:rsidRPr="00A16726" w:rsidRDefault="009A1645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Рассмотрим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примере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«УК»МАГИСТР».</w:t>
      </w:r>
    </w:p>
    <w:p w:rsidR="009A1645" w:rsidRPr="00A16726" w:rsidRDefault="009A1645" w:rsidP="00A16726">
      <w:pPr>
        <w:pStyle w:val="Con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26">
        <w:rPr>
          <w:rFonts w:ascii="Times New Roman" w:hAnsi="Times New Roman" w:cs="Times New Roman"/>
          <w:sz w:val="28"/>
          <w:szCs w:val="28"/>
        </w:rPr>
        <w:t>Фонд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сформирован,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согласно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действующему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законодательству,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при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достижении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уставного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капитала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в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размере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37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000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000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рублей.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пая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при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формировании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составила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5000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рублей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была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определена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как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отношение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стоимости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чистых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(СЧА)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к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количеству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выпущенных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паев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(7400).</w:t>
      </w:r>
      <w:r w:rsidR="006D7371">
        <w:rPr>
          <w:rFonts w:ascii="Times New Roman" w:hAnsi="Times New Roman"/>
          <w:sz w:val="28"/>
          <w:szCs w:val="15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чистых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активов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и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расчетная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инвестиционного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пая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ЗПИФН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"Вольные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каменщики"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после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завершения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формирования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определяются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ежемесячно,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на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последний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рабочий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день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календарного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месяца.</w:t>
      </w:r>
    </w:p>
    <w:p w:rsidR="003859B2" w:rsidRDefault="003859B2" w:rsidP="00A16726">
      <w:pPr>
        <w:pStyle w:val="Con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645" w:rsidRDefault="009A1645" w:rsidP="00A16726">
      <w:pPr>
        <w:pStyle w:val="Con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26">
        <w:rPr>
          <w:rFonts w:ascii="Times New Roman" w:hAnsi="Times New Roman" w:cs="Times New Roman"/>
          <w:sz w:val="28"/>
          <w:szCs w:val="28"/>
        </w:rPr>
        <w:t>Стоимость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пая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=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СЧА/кол-во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паев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Таблица</w:t>
      </w:r>
      <w:r w:rsidR="006D7371">
        <w:rPr>
          <w:rFonts w:ascii="Times New Roman" w:hAnsi="Times New Roman" w:cs="Times New Roman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sz w:val="28"/>
          <w:szCs w:val="28"/>
        </w:rPr>
        <w:t>4</w:t>
      </w:r>
    </w:p>
    <w:p w:rsidR="009A1645" w:rsidRDefault="00625A2B" w:rsidP="00A16726">
      <w:pPr>
        <w:pStyle w:val="Con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26">
        <w:rPr>
          <w:rFonts w:ascii="Times New Roman" w:hAnsi="Times New Roman" w:cs="Times New Roman"/>
          <w:sz w:val="28"/>
          <w:szCs w:val="28"/>
        </w:rPr>
        <w:object w:dxaOrig="8430" w:dyaOrig="2880">
          <v:shape id="_x0000_i1032" type="#_x0000_t75" style="width:421.5pt;height:2in" o:ole="">
            <v:imagedata r:id="rId14" o:title=""/>
          </v:shape>
          <o:OLEObject Type="Embed" ProgID="MSGraph.Chart.8" ShapeID="_x0000_i1032" DrawAspect="Content" ObjectID="_1457339150" r:id="rId15">
            <o:FieldCodes>\s</o:FieldCodes>
          </o:OLEObject>
        </w:object>
      </w:r>
    </w:p>
    <w:p w:rsidR="003859B2" w:rsidRPr="00A16726" w:rsidRDefault="003859B2" w:rsidP="00A16726">
      <w:pPr>
        <w:pStyle w:val="Con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9B2" w:rsidRPr="00A16726" w:rsidRDefault="003859B2" w:rsidP="00A16726">
      <w:pPr>
        <w:widowControl w:val="0"/>
        <w:tabs>
          <w:tab w:val="left" w:pos="9028"/>
        </w:tabs>
        <w:spacing w:line="360" w:lineRule="auto"/>
        <w:ind w:firstLine="709"/>
        <w:rPr>
          <w:sz w:val="28"/>
          <w:szCs w:val="28"/>
        </w:rPr>
      </w:pPr>
      <w:r w:rsidRPr="00A16726">
        <w:rPr>
          <w:bCs/>
          <w:sz w:val="28"/>
          <w:szCs w:val="28"/>
        </w:rPr>
        <w:t>Стоимость</w:t>
      </w:r>
      <w:r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чистых</w:t>
      </w:r>
      <w:r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активов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Дата</w:t>
      </w:r>
      <w:r w:rsidRPr="003859B2">
        <w:rPr>
          <w:sz w:val="20"/>
          <w:szCs w:val="20"/>
          <w:vertAlign w:val="superscript"/>
        </w:rPr>
        <w:t>1</w:t>
      </w:r>
      <w:r w:rsidRPr="003859B2">
        <w:rPr>
          <w:sz w:val="20"/>
          <w:szCs w:val="20"/>
        </w:rPr>
        <w:tab/>
        <w:t>СЧА (руб.)</w:t>
      </w:r>
      <w:r w:rsidRPr="003859B2">
        <w:rPr>
          <w:sz w:val="20"/>
          <w:szCs w:val="20"/>
          <w:vertAlign w:val="superscript"/>
        </w:rPr>
        <w:t>2</w:t>
      </w:r>
      <w:r w:rsidRPr="003859B2">
        <w:rPr>
          <w:sz w:val="20"/>
          <w:szCs w:val="20"/>
        </w:rPr>
        <w:tab/>
        <w:t>Стоимость инвестиционного пая (руб.)</w:t>
      </w:r>
      <w:r w:rsidRPr="003859B2">
        <w:rPr>
          <w:sz w:val="20"/>
          <w:szCs w:val="20"/>
        </w:rPr>
        <w:tab/>
        <w:t xml:space="preserve"> % изм.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01.02.2008</w:t>
      </w:r>
      <w:r w:rsidRPr="003859B2">
        <w:rPr>
          <w:sz w:val="20"/>
          <w:szCs w:val="20"/>
        </w:rPr>
        <w:tab/>
        <w:t>36 973 451.71</w:t>
      </w:r>
      <w:r w:rsidRPr="003859B2">
        <w:rPr>
          <w:sz w:val="20"/>
          <w:szCs w:val="20"/>
        </w:rPr>
        <w:tab/>
        <w:t>4 996.41</w:t>
      </w:r>
      <w:r w:rsidRPr="003859B2">
        <w:rPr>
          <w:sz w:val="20"/>
          <w:szCs w:val="20"/>
        </w:rPr>
        <w:tab/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29.02.2008</w:t>
      </w:r>
      <w:r w:rsidRPr="003859B2">
        <w:rPr>
          <w:sz w:val="20"/>
          <w:szCs w:val="20"/>
        </w:rPr>
        <w:tab/>
        <w:t xml:space="preserve"> 36 667 977.42</w:t>
      </w:r>
      <w:r w:rsidRPr="003859B2">
        <w:rPr>
          <w:sz w:val="20"/>
          <w:szCs w:val="20"/>
        </w:rPr>
        <w:tab/>
        <w:t xml:space="preserve"> 4 955.13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-0.83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31.03.2008</w:t>
      </w:r>
      <w:r w:rsidRPr="003859B2">
        <w:rPr>
          <w:sz w:val="20"/>
          <w:szCs w:val="20"/>
        </w:rPr>
        <w:tab/>
        <w:t>36 227 231.14</w:t>
      </w:r>
      <w:r w:rsidRPr="003859B2">
        <w:rPr>
          <w:sz w:val="20"/>
          <w:szCs w:val="20"/>
        </w:rPr>
        <w:tab/>
        <w:t>4 895.57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-1.20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30.04.2008</w:t>
      </w:r>
      <w:r w:rsidRPr="003859B2">
        <w:rPr>
          <w:sz w:val="20"/>
          <w:szCs w:val="20"/>
        </w:rPr>
        <w:tab/>
        <w:t>36 906 118.00</w:t>
      </w:r>
      <w:r w:rsidRPr="003859B2">
        <w:rPr>
          <w:sz w:val="20"/>
          <w:szCs w:val="20"/>
        </w:rPr>
        <w:tab/>
        <w:t>4 987.31</w:t>
      </w:r>
      <w:r w:rsidRPr="003859B2">
        <w:rPr>
          <w:sz w:val="20"/>
          <w:szCs w:val="20"/>
        </w:rPr>
        <w:tab/>
      </w:r>
      <w:r w:rsidRPr="003859B2">
        <w:rPr>
          <w:bCs/>
          <w:sz w:val="20"/>
          <w:szCs w:val="20"/>
        </w:rPr>
        <w:t>1.87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30.05.2008</w:t>
      </w:r>
      <w:r w:rsidRPr="003859B2">
        <w:rPr>
          <w:sz w:val="20"/>
          <w:szCs w:val="20"/>
        </w:rPr>
        <w:tab/>
        <w:t>36 746 350.17</w:t>
      </w:r>
      <w:r w:rsidRPr="003859B2">
        <w:rPr>
          <w:sz w:val="20"/>
          <w:szCs w:val="20"/>
        </w:rPr>
        <w:tab/>
        <w:t>4 965.72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-0.43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30.06.2008</w:t>
      </w:r>
      <w:r w:rsidRPr="003859B2">
        <w:rPr>
          <w:sz w:val="20"/>
          <w:szCs w:val="20"/>
        </w:rPr>
        <w:tab/>
        <w:t>36 450 620.99</w:t>
      </w:r>
      <w:r w:rsidRPr="003859B2">
        <w:rPr>
          <w:sz w:val="20"/>
          <w:szCs w:val="20"/>
        </w:rPr>
        <w:tab/>
        <w:t>4 925.76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-0.80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31.07.2008</w:t>
      </w:r>
      <w:r w:rsidRPr="003859B2">
        <w:rPr>
          <w:sz w:val="20"/>
          <w:szCs w:val="20"/>
        </w:rPr>
        <w:tab/>
        <w:t>35 672 203.41</w:t>
      </w:r>
      <w:r w:rsidRPr="003859B2">
        <w:rPr>
          <w:sz w:val="20"/>
          <w:szCs w:val="20"/>
        </w:rPr>
        <w:tab/>
        <w:t>4 820.57</w:t>
      </w:r>
      <w:r w:rsidRPr="003859B2">
        <w:rPr>
          <w:sz w:val="20"/>
          <w:szCs w:val="20"/>
        </w:rPr>
        <w:tab/>
      </w:r>
      <w:r w:rsidRPr="003859B2">
        <w:rPr>
          <w:rStyle w:val="a8"/>
          <w:b w:val="0"/>
          <w:sz w:val="20"/>
          <w:szCs w:val="20"/>
        </w:rPr>
        <w:t>-2.14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>29.08.2008</w:t>
      </w:r>
      <w:r w:rsidRPr="003859B2">
        <w:rPr>
          <w:sz w:val="20"/>
          <w:szCs w:val="20"/>
        </w:rPr>
        <w:tab/>
        <w:t xml:space="preserve"> 36 598 115.61</w:t>
      </w:r>
      <w:r w:rsidRPr="003859B2">
        <w:rPr>
          <w:sz w:val="20"/>
          <w:szCs w:val="20"/>
        </w:rPr>
        <w:tab/>
        <w:t xml:space="preserve"> 4 945.69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2.60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 xml:space="preserve"> 30.09.2008</w:t>
      </w:r>
      <w:r w:rsidRPr="003859B2">
        <w:rPr>
          <w:sz w:val="20"/>
          <w:szCs w:val="20"/>
        </w:rPr>
        <w:tab/>
        <w:t>36 096 948.67</w:t>
      </w:r>
      <w:r w:rsidRPr="003859B2">
        <w:rPr>
          <w:sz w:val="20"/>
          <w:szCs w:val="20"/>
        </w:rPr>
        <w:tab/>
        <w:t>4 878.24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-1.36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 xml:space="preserve"> 31.10.2008</w:t>
      </w:r>
      <w:r w:rsidRPr="003859B2">
        <w:rPr>
          <w:sz w:val="20"/>
          <w:szCs w:val="20"/>
        </w:rPr>
        <w:tab/>
        <w:t>34 064 720.70</w:t>
      </w:r>
      <w:r w:rsidRPr="003859B2">
        <w:rPr>
          <w:sz w:val="20"/>
          <w:szCs w:val="20"/>
        </w:rPr>
        <w:tab/>
        <w:t>4 603.34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-5.60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 xml:space="preserve"> 28.11.2008</w:t>
      </w:r>
      <w:r w:rsidRPr="003859B2">
        <w:rPr>
          <w:sz w:val="20"/>
          <w:szCs w:val="20"/>
        </w:rPr>
        <w:tab/>
        <w:t>36 708 548.34</w:t>
      </w:r>
      <w:r w:rsidRPr="003859B2">
        <w:rPr>
          <w:sz w:val="20"/>
          <w:szCs w:val="20"/>
        </w:rPr>
        <w:tab/>
        <w:t>4 960.61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7.76</w:t>
      </w:r>
    </w:p>
    <w:p w:rsidR="003859B2" w:rsidRPr="003859B2" w:rsidRDefault="003859B2" w:rsidP="003859B2">
      <w:pPr>
        <w:widowControl w:val="0"/>
        <w:tabs>
          <w:tab w:val="left" w:pos="1505"/>
          <w:tab w:val="left" w:pos="3281"/>
          <w:tab w:val="left" w:pos="8106"/>
          <w:tab w:val="left" w:pos="9088"/>
        </w:tabs>
        <w:spacing w:line="360" w:lineRule="auto"/>
        <w:ind w:left="53"/>
        <w:rPr>
          <w:sz w:val="20"/>
          <w:szCs w:val="20"/>
        </w:rPr>
      </w:pPr>
      <w:r w:rsidRPr="003859B2">
        <w:rPr>
          <w:sz w:val="20"/>
          <w:szCs w:val="20"/>
        </w:rPr>
        <w:t xml:space="preserve"> 31.12.2008</w:t>
      </w:r>
      <w:r w:rsidRPr="003859B2">
        <w:rPr>
          <w:sz w:val="20"/>
          <w:szCs w:val="20"/>
        </w:rPr>
        <w:tab/>
        <w:t>36 740 753.28</w:t>
      </w:r>
      <w:r w:rsidRPr="003859B2">
        <w:rPr>
          <w:sz w:val="20"/>
          <w:szCs w:val="20"/>
        </w:rPr>
        <w:tab/>
        <w:t>4 964.97</w:t>
      </w:r>
      <w:r w:rsidRPr="003859B2">
        <w:rPr>
          <w:sz w:val="20"/>
          <w:szCs w:val="20"/>
        </w:rPr>
        <w:tab/>
        <w:t xml:space="preserve"> </w:t>
      </w:r>
      <w:r w:rsidRPr="003859B2">
        <w:rPr>
          <w:rStyle w:val="a8"/>
          <w:b w:val="0"/>
          <w:sz w:val="20"/>
          <w:szCs w:val="20"/>
        </w:rPr>
        <w:t>0.09</w:t>
      </w:r>
    </w:p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A1645" w:rsidRPr="00A16726" w:rsidRDefault="009A1645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Сравним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«Авангард.Первый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строительный»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ЗАО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«Управляющая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компания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«СМ.арт»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г.Красноярск</w:t>
      </w:r>
      <w:r w:rsidR="00432198" w:rsidRPr="00A16726">
        <w:rPr>
          <w:rStyle w:val="a6"/>
          <w:sz w:val="28"/>
          <w:szCs w:val="28"/>
        </w:rPr>
        <w:footnoteReference w:id="21"/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отличие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УК»МАГИСТР»,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доверительным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ЗАО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«УК»СМ.Арт.»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находится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12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="00432198" w:rsidRPr="00A16726">
        <w:rPr>
          <w:sz w:val="28"/>
          <w:szCs w:val="28"/>
        </w:rPr>
        <w:t>фондов.</w:t>
      </w:r>
    </w:p>
    <w:p w:rsidR="00432198" w:rsidRPr="00A16726" w:rsidRDefault="00432198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приведена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Таблице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5.</w:t>
      </w:r>
    </w:p>
    <w:p w:rsidR="00432198" w:rsidRPr="00A16726" w:rsidRDefault="00432198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3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06"/>
        <w:gridCol w:w="1984"/>
        <w:gridCol w:w="1560"/>
      </w:tblGrid>
      <w:tr w:rsidR="00432198" w:rsidRPr="000E3C65" w:rsidTr="000E3C65">
        <w:tc>
          <w:tcPr>
            <w:tcW w:w="3085" w:type="dxa"/>
            <w:shd w:val="clear" w:color="auto" w:fill="auto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E3C65">
              <w:rPr>
                <w:sz w:val="20"/>
                <w:szCs w:val="20"/>
              </w:rPr>
              <w:t>31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марта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2009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27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февраля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2009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Изменение,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%</w:t>
            </w:r>
          </w:p>
        </w:tc>
      </w:tr>
      <w:tr w:rsidR="00432198" w:rsidRPr="000E3C65" w:rsidTr="000E3C65">
        <w:tc>
          <w:tcPr>
            <w:tcW w:w="3085" w:type="dxa"/>
            <w:shd w:val="clear" w:color="auto" w:fill="auto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Стоимость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чистых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активов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Фонда,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руб.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24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466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327,11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24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559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826,46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-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0,38</w:t>
            </w:r>
          </w:p>
        </w:tc>
      </w:tr>
      <w:tr w:rsidR="00432198" w:rsidRPr="000E3C65" w:rsidTr="000E3C65">
        <w:tc>
          <w:tcPr>
            <w:tcW w:w="3085" w:type="dxa"/>
            <w:shd w:val="clear" w:color="auto" w:fill="auto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Расчетная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стоимость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инвестиционного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пая,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руб.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9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786,53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9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823,93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2198" w:rsidRPr="000E3C65" w:rsidRDefault="00432198" w:rsidP="000E3C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-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0,38</w:t>
            </w:r>
          </w:p>
        </w:tc>
      </w:tr>
    </w:tbl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56583" w:rsidRDefault="00432198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двух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хотя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«Авангард.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строительный»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9.10.2008г.,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месяцев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каменщики»,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вполне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устойчивы</w:t>
      </w:r>
      <w:r w:rsidR="009462BA"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сравнении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момента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основания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обоих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фонодв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вывод,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изменилась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она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мало-в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ЗПИФНе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«Авангард.</w:t>
      </w:r>
      <w:r w:rsidR="00F56583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Первый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строительный»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10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000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9823р.,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5000р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4965р.</w:t>
      </w:r>
    </w:p>
    <w:p w:rsidR="00432198" w:rsidRPr="00A16726" w:rsidRDefault="00432198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«Авангард.Первый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строительный»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каменщики»</w:t>
      </w:r>
      <w:r w:rsidR="009462BA"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первого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выше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практически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2</w:t>
      </w:r>
      <w:r w:rsidR="006D7371">
        <w:rPr>
          <w:sz w:val="28"/>
          <w:szCs w:val="28"/>
        </w:rPr>
        <w:t xml:space="preserve"> </w:t>
      </w:r>
      <w:r w:rsidR="009462BA" w:rsidRPr="00A16726">
        <w:rPr>
          <w:sz w:val="28"/>
          <w:szCs w:val="28"/>
        </w:rPr>
        <w:t>раза.</w:t>
      </w:r>
    </w:p>
    <w:p w:rsidR="00F56583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Доходность.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реагируют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окружающей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одинаковой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мере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влияющие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характеризует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сравнивается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отрасли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целом.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помнить,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желательно,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проводилось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придерживающихся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одинаковых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стратегий.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демонстрирует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</w:p>
    <w:p w:rsidR="00F56583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помнить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проведя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15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работающих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оказалось,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четырех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лидеров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лидирующую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группу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попадают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один-два.</w:t>
      </w:r>
    </w:p>
    <w:p w:rsidR="00F56583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выделяются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попадающие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четверку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«Добрыня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Никитич»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«Тройки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Диалог».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постоянные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аутсайдеры,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«Ермак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краткосрочных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«Ермак»).</w:t>
      </w:r>
    </w:p>
    <w:p w:rsidR="00F56583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лучшие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прошлом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гарантируют,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сохранит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лидерство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будущем.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ситуация,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большинство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оказавшихся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итогам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группе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лидеров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последующие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показывают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результаты.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фондам-лидерам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смысл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тратить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рекламу,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возвещающую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успехах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прошлом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A3008A" w:rsidRPr="00A16726">
        <w:rPr>
          <w:rStyle w:val="a6"/>
          <w:sz w:val="28"/>
          <w:szCs w:val="28"/>
        </w:rPr>
        <w:footnoteReference w:id="22"/>
      </w:r>
      <w:r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</w:p>
    <w:p w:rsidR="009462BA" w:rsidRPr="00A16726" w:rsidRDefault="009462BA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Рассмотрим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«МАГИСТР»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таблице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6.</w:t>
      </w:r>
    </w:p>
    <w:tbl>
      <w:tblPr>
        <w:tblW w:w="4500" w:type="pct"/>
        <w:tblCellSpacing w:w="0" w:type="dxa"/>
        <w:tblInd w:w="3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56"/>
        <w:gridCol w:w="1697"/>
        <w:gridCol w:w="1114"/>
        <w:gridCol w:w="1035"/>
        <w:gridCol w:w="1908"/>
        <w:gridCol w:w="1035"/>
        <w:gridCol w:w="938"/>
      </w:tblGrid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F56583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Стоимость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пая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и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СЧА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Доходность</w:t>
            </w:r>
          </w:p>
        </w:tc>
      </w:tr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27.02.2009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1</w:t>
            </w: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мес.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3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мес.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с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начала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1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год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3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года</w:t>
            </w:r>
          </w:p>
        </w:tc>
      </w:tr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Style w:val="HTML"/>
                <w:rFonts w:cs="Arial"/>
                <w:sz w:val="20"/>
                <w:szCs w:val="20"/>
              </w:rPr>
              <w:t>Пай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4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770.38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-0.54%</w:t>
            </w: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-3.83%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-3.92%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-3.73%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СЧА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35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300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788.51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-0.54%</w:t>
            </w: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-3.83%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-3.92%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-3.73%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62BA" w:rsidRPr="00A16726" w:rsidRDefault="009462BA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Сравним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нашего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известного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«Авангард.Первый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строительный»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таблице</w:t>
      </w:r>
      <w:r w:rsidR="006D7371">
        <w:rPr>
          <w:sz w:val="28"/>
          <w:szCs w:val="28"/>
        </w:rPr>
        <w:t xml:space="preserve"> </w:t>
      </w:r>
      <w:r w:rsidR="00F56583">
        <w:rPr>
          <w:sz w:val="28"/>
          <w:szCs w:val="28"/>
        </w:rPr>
        <w:t>7</w:t>
      </w:r>
    </w:p>
    <w:tbl>
      <w:tblPr>
        <w:tblW w:w="4500" w:type="pct"/>
        <w:tblCellSpacing w:w="0" w:type="dxa"/>
        <w:tblInd w:w="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1697"/>
        <w:gridCol w:w="1177"/>
        <w:gridCol w:w="961"/>
        <w:gridCol w:w="2016"/>
        <w:gridCol w:w="842"/>
        <w:gridCol w:w="991"/>
      </w:tblGrid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Стоимость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пая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и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СЧА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Доходность</w:t>
            </w:r>
          </w:p>
        </w:tc>
      </w:tr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31.12.2008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1</w:t>
            </w: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мес.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3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мес.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с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начала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1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год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3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года</w:t>
            </w:r>
          </w:p>
        </w:tc>
      </w:tr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Style w:val="HTML"/>
                <w:rFonts w:cs="Arial"/>
                <w:sz w:val="20"/>
                <w:szCs w:val="20"/>
              </w:rPr>
              <w:t>Пай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9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888.27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-0.38%</w:t>
            </w: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462BA" w:rsidRPr="00F56583" w:rsidTr="00F56583">
        <w:trPr>
          <w:tblCellSpacing w:w="0" w:type="dxa"/>
        </w:trPr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СЧА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24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720</w:t>
            </w:r>
            <w:r w:rsidR="006D7371" w:rsidRPr="00F56583">
              <w:rPr>
                <w:rFonts w:cs="Arial"/>
                <w:sz w:val="20"/>
                <w:szCs w:val="20"/>
              </w:rPr>
              <w:t xml:space="preserve"> </w:t>
            </w:r>
            <w:r w:rsidRPr="00F56583">
              <w:rPr>
                <w:rFonts w:cs="Arial"/>
                <w:sz w:val="20"/>
                <w:szCs w:val="20"/>
              </w:rPr>
              <w:t>680.25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  <w:r w:rsidR="009462BA" w:rsidRPr="00F56583">
              <w:rPr>
                <w:rFonts w:cs="Arial"/>
                <w:sz w:val="20"/>
                <w:szCs w:val="20"/>
              </w:rPr>
              <w:t>-0.38%</w:t>
            </w: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462BA" w:rsidRPr="00F56583" w:rsidRDefault="009462BA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462BA" w:rsidRPr="00F56583" w:rsidRDefault="006D7371" w:rsidP="00F56583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5658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62BA" w:rsidRPr="00A16726" w:rsidRDefault="009462BA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Проанализировав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таблицы,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лучшей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</w:t>
      </w:r>
      <w:r w:rsidR="003554C1" w:rsidRPr="00A16726">
        <w:rPr>
          <w:sz w:val="28"/>
          <w:szCs w:val="28"/>
        </w:rPr>
        <w:t>ти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«Авангард.Первый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строительный»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период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существования,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т.к.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отличие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ушел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меньше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убыток.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Доходность/риск.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показателями,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ПИФа</w:t>
      </w:r>
      <w:r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характеризующие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соотношения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</w:p>
    <w:p w:rsidR="003554C1" w:rsidRPr="00A16726" w:rsidRDefault="003554C1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Уильям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Шарп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придумал,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увязать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показатели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позволяет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сравнивать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СЧА,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стратегиями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доходностью.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понятие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“премия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риск”,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равняется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разнице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период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называемых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безрисковых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например,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срочного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Сбербанке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простоты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принять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10%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годовых).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Поделив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полученную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разницу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стандартное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отклонение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(которое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риск),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искомый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коэффициент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Шарпа.</w:t>
      </w:r>
    </w:p>
    <w:p w:rsidR="003554C1" w:rsidRDefault="003554C1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помощью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увидеть—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коэффициент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показывает,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насколько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соотносится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рискованностью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вложений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него.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Соответственно,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выше,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эффективнее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управляется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выше,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ниже.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Отрицательный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коэффициент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означает,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вложения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убыточны.</w:t>
      </w:r>
    </w:p>
    <w:p w:rsidR="00F56583" w:rsidRPr="00A16726" w:rsidRDefault="00F56583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3554C1" w:rsidRPr="00A16726" w:rsidRDefault="00625A2B" w:rsidP="00A167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object w:dxaOrig="160" w:dyaOrig="240">
          <v:shape id="_x0000_i1033" type="#_x0000_t75" style="width:12.75pt;height:12pt" o:ole="">
            <v:imagedata r:id="rId16" o:title=""/>
          </v:shape>
          <o:OLEObject Type="Embed" ProgID="Equation.3" ShapeID="_x0000_i1033" DrawAspect="Content" ObjectID="_1457339151" r:id="rId17"/>
        </w:object>
      </w:r>
      <w:r w:rsidR="003554C1" w:rsidRPr="00A16726">
        <w:rPr>
          <w:sz w:val="28"/>
          <w:szCs w:val="28"/>
          <w:vertAlign w:val="subscript"/>
        </w:rPr>
        <w:t>пая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=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(0,09+7,76-5,60-1,36+2,60-2,14-0,8-0,43+1,87-1,2-0,83)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/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11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=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-0,04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%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годовых;</w:t>
      </w:r>
    </w:p>
    <w:p w:rsidR="003554C1" w:rsidRPr="00A16726" w:rsidRDefault="00625A2B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object w:dxaOrig="4720" w:dyaOrig="1020">
          <v:shape id="_x0000_i1034" type="#_x0000_t75" style="width:325.5pt;height:50.25pt" o:ole="">
            <v:imagedata r:id="rId18" o:title=""/>
          </v:shape>
          <o:OLEObject Type="Embed" ProgID="Equation.3" ShapeID="_x0000_i1034" DrawAspect="Content" ObjectID="_1457339152" r:id="rId19"/>
        </w:object>
      </w:r>
    </w:p>
    <w:p w:rsidR="003554C1" w:rsidRPr="00A16726" w:rsidRDefault="00625A2B" w:rsidP="00A16726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object w:dxaOrig="4200" w:dyaOrig="740">
          <v:shape id="_x0000_i1035" type="#_x0000_t75" style="width:231pt;height:40.5pt" o:ole="">
            <v:imagedata r:id="rId20" o:title=""/>
          </v:shape>
          <o:OLEObject Type="Embed" ProgID="Equation.3" ShapeID="_x0000_i1035" DrawAspect="Content" ObjectID="_1457339153" r:id="rId21"/>
        </w:object>
      </w:r>
    </w:p>
    <w:p w:rsidR="00F56583" w:rsidRDefault="00F56583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3554C1" w:rsidRPr="00A16726" w:rsidRDefault="003554C1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каждую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единицу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получены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4,74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единиц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убытка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против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гарантированной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безрисковой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81FFC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«бета».</w:t>
      </w:r>
    </w:p>
    <w:p w:rsidR="00F56583" w:rsidRPr="00A16726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54C1" w:rsidRPr="00A16726" w:rsidRDefault="00625A2B" w:rsidP="00A16726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object w:dxaOrig="2760" w:dyaOrig="740">
          <v:shape id="_x0000_i1036" type="#_x0000_t75" style="width:174pt;height:47.25pt" o:ole="">
            <v:imagedata r:id="rId22" o:title=""/>
          </v:shape>
          <o:OLEObject Type="Embed" ProgID="Equation.3" ShapeID="_x0000_i1036" DrawAspect="Content" ObjectID="_1457339154" r:id="rId23"/>
        </w:object>
      </w:r>
    </w:p>
    <w:p w:rsidR="003554C1" w:rsidRPr="00A16726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показывает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изменение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принимают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рискованными,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«бетой»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рискованными.</w:t>
      </w:r>
      <w:r w:rsidR="006D7371">
        <w:rPr>
          <w:sz w:val="28"/>
          <w:szCs w:val="28"/>
        </w:rPr>
        <w:t xml:space="preserve"> </w:t>
      </w:r>
    </w:p>
    <w:p w:rsidR="008A31D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сказано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диаграмме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«риск/доходность»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учитывается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глубокого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SML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(security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market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line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координатах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«бета/средняя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лежащие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прямой,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прямой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эффективны.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целом,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«бета»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управляющему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точнее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оценить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успешность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фондом.</w:t>
      </w:r>
      <w:r w:rsidR="006D7371">
        <w:rPr>
          <w:sz w:val="28"/>
          <w:szCs w:val="28"/>
        </w:rPr>
        <w:t xml:space="preserve"> </w:t>
      </w:r>
    </w:p>
    <w:p w:rsidR="003554C1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«альфа»</w:t>
      </w:r>
      <w:r w:rsidR="00A3008A" w:rsidRPr="00A16726">
        <w:rPr>
          <w:rStyle w:val="a6"/>
          <w:sz w:val="28"/>
          <w:szCs w:val="28"/>
        </w:rPr>
        <w:footnoteReference w:id="23"/>
      </w:r>
      <w:r w:rsidRPr="00A16726">
        <w:rPr>
          <w:sz w:val="28"/>
          <w:szCs w:val="28"/>
        </w:rPr>
        <w:t>.</w:t>
      </w:r>
    </w:p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554C1" w:rsidRPr="00A16726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bCs/>
          <w:sz w:val="28"/>
          <w:szCs w:val="28"/>
          <w:lang w:val="en-US"/>
        </w:rPr>
        <w:t>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=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  <w:lang w:val="en-US"/>
        </w:rPr>
        <w:t>R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</w:t>
      </w:r>
      <w:r w:rsidRPr="00A16726">
        <w:rPr>
          <w:sz w:val="28"/>
          <w:szCs w:val="28"/>
          <w:lang w:val="en-US"/>
        </w:rPr>
        <w:t>Rf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+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</w:t>
      </w:r>
      <w:r w:rsidRPr="00A16726">
        <w:rPr>
          <w:sz w:val="28"/>
          <w:szCs w:val="28"/>
          <w:lang w:val="en-US"/>
        </w:rPr>
        <w:t>Ri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  <w:lang w:val="en-US"/>
        </w:rPr>
        <w:t>Rf</w:t>
      </w:r>
      <w:r w:rsidR="00F56583">
        <w:rPr>
          <w:sz w:val="28"/>
          <w:szCs w:val="28"/>
        </w:rPr>
        <w:t>)ß)</w:t>
      </w:r>
    </w:p>
    <w:p w:rsidR="00F56583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56583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R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пая;</w:t>
      </w:r>
      <w:r w:rsidR="006D7371">
        <w:rPr>
          <w:sz w:val="28"/>
          <w:szCs w:val="28"/>
        </w:rPr>
        <w:t xml:space="preserve"> </w:t>
      </w:r>
    </w:p>
    <w:p w:rsidR="00F56583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Rf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актива;</w:t>
      </w:r>
      <w:r w:rsidR="006D7371">
        <w:rPr>
          <w:sz w:val="28"/>
          <w:szCs w:val="28"/>
        </w:rPr>
        <w:t xml:space="preserve"> </w:t>
      </w:r>
    </w:p>
    <w:p w:rsidR="00F56583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Ri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(индекса);</w:t>
      </w:r>
      <w:r w:rsidR="006D7371">
        <w:rPr>
          <w:sz w:val="28"/>
          <w:szCs w:val="28"/>
        </w:rPr>
        <w:t xml:space="preserve"> </w:t>
      </w:r>
    </w:p>
    <w:p w:rsidR="003554C1" w:rsidRPr="00A16726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ß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бета.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искусство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управляющего.</w:t>
      </w:r>
    </w:p>
    <w:p w:rsidR="003554C1" w:rsidRPr="00A16726" w:rsidRDefault="003554C1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оценивает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труд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ПИФом: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показывает,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принесло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мастерство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нуля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означает,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задачей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справляется.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Считается</w:t>
      </w:r>
      <w:r w:rsidR="00A3008A" w:rsidRPr="00A16726">
        <w:rPr>
          <w:rStyle w:val="a6"/>
          <w:sz w:val="28"/>
          <w:szCs w:val="28"/>
        </w:rPr>
        <w:footnoteReference w:id="24"/>
      </w:r>
      <w:r w:rsidR="00B81FFC"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одной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мер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построенного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принципе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учета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риска,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разность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средней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соответствующего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эталонного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портфеля.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Эта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разность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носит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название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апостериорная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«альфа»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(или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дифференциальная</w:t>
      </w:r>
      <w:r w:rsidR="006D7371">
        <w:rPr>
          <w:sz w:val="28"/>
          <w:szCs w:val="28"/>
        </w:rPr>
        <w:t xml:space="preserve"> </w:t>
      </w:r>
      <w:r w:rsidR="00B81FFC" w:rsidRPr="00A16726">
        <w:rPr>
          <w:sz w:val="28"/>
          <w:szCs w:val="28"/>
        </w:rPr>
        <w:t>доходность)</w:t>
      </w:r>
      <w:r w:rsidRPr="00A16726">
        <w:rPr>
          <w:sz w:val="28"/>
          <w:szCs w:val="28"/>
        </w:rPr>
        <w:t>.</w:t>
      </w:r>
    </w:p>
    <w:p w:rsidR="003554C1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Положительное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величины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означает,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превосходит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эталонного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откуда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сделать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высокоэффективным.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Отрицательное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показывает,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средняя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ниже,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эталонного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говорит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низкоэффективном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управлении.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альфа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разница</w:t>
      </w:r>
      <w:r w:rsidR="006D7371">
        <w:rPr>
          <w:sz w:val="28"/>
          <w:szCs w:val="28"/>
        </w:rPr>
        <w:t xml:space="preserve"> </w:t>
      </w:r>
      <w:r w:rsidR="003554C1" w:rsidRPr="00A16726">
        <w:rPr>
          <w:sz w:val="28"/>
          <w:szCs w:val="28"/>
        </w:rPr>
        <w:t>между</w:t>
      </w:r>
      <w:r w:rsidR="006D7371">
        <w:rPr>
          <w:sz w:val="28"/>
          <w:szCs w:val="28"/>
        </w:rPr>
        <w:t xml:space="preserve"> </w:t>
      </w:r>
    </w:p>
    <w:p w:rsidR="003554C1" w:rsidRPr="00A16726" w:rsidRDefault="003554C1" w:rsidP="00F56583">
      <w:pPr>
        <w:widowControl w:val="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реальной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</w:p>
    <w:p w:rsidR="003554C1" w:rsidRPr="00A16726" w:rsidRDefault="003554C1" w:rsidP="00F56583">
      <w:pPr>
        <w:widowControl w:val="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доходностью,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должен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учетом</w:t>
      </w:r>
      <w:r w:rsidR="006D7371">
        <w:rPr>
          <w:sz w:val="28"/>
          <w:szCs w:val="28"/>
        </w:rPr>
        <w:t xml:space="preserve"> </w:t>
      </w:r>
    </w:p>
    <w:p w:rsidR="003554C1" w:rsidRPr="00A16726" w:rsidRDefault="003554C1" w:rsidP="00F56583">
      <w:pPr>
        <w:widowControl w:val="0"/>
        <w:numPr>
          <w:ilvl w:val="1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степени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(движения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отображается</w:t>
      </w:r>
      <w:r w:rsidR="006D7371">
        <w:rPr>
          <w:sz w:val="28"/>
          <w:szCs w:val="28"/>
        </w:rPr>
        <w:t xml:space="preserve"> </w:t>
      </w:r>
      <w:hyperlink r:id="rId24" w:history="1">
        <w:r w:rsidRPr="00A16726">
          <w:rPr>
            <w:rStyle w:val="a3"/>
            <w:color w:val="auto"/>
            <w:sz w:val="28"/>
            <w:szCs w:val="28"/>
            <w:u w:val="none"/>
          </w:rPr>
          <w:t>индексами</w:t>
        </w:r>
      </w:hyperlink>
      <w:r w:rsidRPr="00A16726">
        <w:rPr>
          <w:sz w:val="28"/>
          <w:szCs w:val="28"/>
        </w:rPr>
        <w:t>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</w:p>
    <w:p w:rsidR="003554C1" w:rsidRPr="00A16726" w:rsidRDefault="003554C1" w:rsidP="00F56583">
      <w:pPr>
        <w:widowControl w:val="0"/>
        <w:numPr>
          <w:ilvl w:val="1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29A1">
        <w:rPr>
          <w:sz w:val="28"/>
          <w:szCs w:val="28"/>
        </w:rPr>
        <w:t>коэффициента</w:t>
      </w:r>
      <w:r w:rsidR="006D7371" w:rsidRPr="004829A1">
        <w:rPr>
          <w:sz w:val="28"/>
          <w:szCs w:val="28"/>
        </w:rPr>
        <w:t xml:space="preserve"> </w:t>
      </w:r>
      <w:r w:rsidRPr="004829A1">
        <w:rPr>
          <w:sz w:val="28"/>
          <w:szCs w:val="28"/>
        </w:rPr>
        <w:t>бета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умножается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бету).</w:t>
      </w:r>
      <w:r w:rsidR="006D7371">
        <w:rPr>
          <w:sz w:val="28"/>
          <w:szCs w:val="28"/>
        </w:rPr>
        <w:t xml:space="preserve"> </w:t>
      </w:r>
    </w:p>
    <w:p w:rsidR="003554C1" w:rsidRPr="00A16726" w:rsidRDefault="003554C1" w:rsidP="00A16726">
      <w:pPr>
        <w:pStyle w:val="a7"/>
        <w:widowControl w:val="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рассматривать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прибавку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сверх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справедливой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создает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искусно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средствами.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Справедливая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должен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показывать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из-за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определенного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соотношения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типов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(т.е.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уровня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риска)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портфеле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учетом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обстановки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Скажем,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состоит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две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трети,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роста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рынка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вырос,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состоял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полностью,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полученная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разница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будет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альфой.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влияет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поэтому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два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одинаковой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выше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(бета)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больший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должен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приносить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чтобы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значение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было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высоким.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Инвесторы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ожидают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рискованных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инвестиций.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Кажется,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сказанного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следует,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нужно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искать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высокой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альфой.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Ведь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показывают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большую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уровне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риска.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нюансы.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Во-первых,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измеряет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относительно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беты,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недостатки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беты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отражаются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бета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бессмысленна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из-за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низкого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25" w:history="1">
        <w:r w:rsidRPr="00A167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коэффициента</w:t>
        </w:r>
        <w:r w:rsidR="006D737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A167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корреляции</w:t>
        </w:r>
      </w:hyperlink>
      <w:r w:rsidRPr="00A1672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отражает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реальность.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Во-вторых,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позволяет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различать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низкую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следствие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некомпетентного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следствие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высоких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платежей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управляющим.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Например,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индексными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занимаются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выбором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ценных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бумаг,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копируют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индекс,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своим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управлением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увеличивают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уменьшают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Поэтому,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теории,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индексного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должна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равна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нулю.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многие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индексные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имеют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отрицательную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альфу.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отражает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уменьшение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доходности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расходами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ПИФа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вознаграждение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управляющей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компании,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депозитарию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наконец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невозможно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определить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отображает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искусство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везение.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Талантлив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этот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управляющий,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он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просто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абсолютно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случайно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наткнулся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быстро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выросшие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цене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акции?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верно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последнее,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положительная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альфа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сегодня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превратиться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отрицательную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альфу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6726">
        <w:rPr>
          <w:rFonts w:ascii="Times New Roman" w:hAnsi="Times New Roman" w:cs="Times New Roman"/>
          <w:color w:val="auto"/>
          <w:sz w:val="28"/>
          <w:szCs w:val="28"/>
        </w:rPr>
        <w:t>завтра.</w:t>
      </w:r>
      <w:r w:rsidR="006D73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81FFC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«доходность-изменчивость»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Трейнора).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«доходность-изменчивость»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(reward-to-volatility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ratio),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обозначаемый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RVOL</w:t>
      </w:r>
      <w:r w:rsidRPr="00A16726">
        <w:rPr>
          <w:sz w:val="28"/>
          <w:szCs w:val="28"/>
          <w:vertAlign w:val="subscript"/>
        </w:rPr>
        <w:t>p</w:t>
      </w:r>
      <w:r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вычисляется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отношение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избыточной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риску</w:t>
      </w:r>
      <w:r w:rsidR="00A3008A" w:rsidRPr="00A16726">
        <w:rPr>
          <w:rStyle w:val="a6"/>
          <w:sz w:val="28"/>
          <w:szCs w:val="28"/>
        </w:rPr>
        <w:footnoteReference w:id="25"/>
      </w:r>
    </w:p>
    <w:p w:rsidR="00F56583" w:rsidRPr="00A16726" w:rsidRDefault="00F56583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56583" w:rsidRDefault="00B86703" w:rsidP="00A16726">
      <w:pPr>
        <w:pStyle w:val="2"/>
        <w:widowControl w:val="0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pict>
          <v:shape id="_x0000_i1037" type="#_x0000_t75" style="width:120pt;height:35.25pt">
            <v:imagedata r:id="rId26" o:title=""/>
          </v:shape>
        </w:pict>
      </w:r>
    </w:p>
    <w:p w:rsidR="00F56583" w:rsidRDefault="00F56583" w:rsidP="00A16726">
      <w:pPr>
        <w:pStyle w:val="2"/>
        <w:widowControl w:val="0"/>
        <w:spacing w:line="360" w:lineRule="auto"/>
        <w:ind w:firstLine="709"/>
        <w:jc w:val="both"/>
        <w:rPr>
          <w:color w:val="auto"/>
          <w:szCs w:val="28"/>
        </w:rPr>
      </w:pPr>
    </w:p>
    <w:p w:rsidR="00F56583" w:rsidRDefault="00F56583" w:rsidP="00A16726">
      <w:pPr>
        <w:pStyle w:val="2"/>
        <w:widowControl w:val="0"/>
        <w:spacing w:line="360" w:lineRule="auto"/>
        <w:ind w:firstLine="709"/>
        <w:jc w:val="both"/>
        <w:rPr>
          <w:color w:val="auto"/>
          <w:szCs w:val="28"/>
        </w:rPr>
      </w:pPr>
      <w:r w:rsidRPr="00A16726">
        <w:rPr>
          <w:color w:val="auto"/>
          <w:szCs w:val="28"/>
        </w:rPr>
        <w:t>Г</w:t>
      </w:r>
      <w:r w:rsidR="008A31DC" w:rsidRPr="00A16726">
        <w:rPr>
          <w:color w:val="auto"/>
          <w:szCs w:val="28"/>
        </w:rPr>
        <w:t>де</w:t>
      </w:r>
      <w:r>
        <w:rPr>
          <w:color w:val="auto"/>
          <w:szCs w:val="28"/>
        </w:rPr>
        <w:t xml:space="preserve"> </w:t>
      </w:r>
      <w:r w:rsidR="00B86703">
        <w:rPr>
          <w:color w:val="auto"/>
          <w:szCs w:val="28"/>
        </w:rPr>
        <w:pict>
          <v:shape id="_x0000_i1038" type="#_x0000_t75" style="width:12.75pt;height:17.25pt">
            <v:imagedata r:id="rId27" o:title=""/>
          </v:shape>
        </w:pict>
      </w:r>
      <w:r w:rsidR="008A31DC" w:rsidRPr="00A16726">
        <w:rPr>
          <w:color w:val="auto"/>
          <w:szCs w:val="28"/>
        </w:rPr>
        <w:t>—средняя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доходность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фонда;</w:t>
      </w:r>
    </w:p>
    <w:p w:rsidR="00F56583" w:rsidRDefault="00B86703" w:rsidP="00A16726">
      <w:pPr>
        <w:pStyle w:val="2"/>
        <w:widowControl w:val="0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pict>
          <v:shape id="_x0000_i1039" type="#_x0000_t75" style="width:12.75pt;height:17.25pt">
            <v:imagedata r:id="rId28" o:title=""/>
          </v:shape>
        </w:pict>
      </w:r>
      <w:r w:rsidR="008A31DC" w:rsidRPr="00A16726">
        <w:rPr>
          <w:color w:val="auto"/>
          <w:szCs w:val="28"/>
        </w:rPr>
        <w:t>—средняя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безрисковая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ставка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(risk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free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rate);</w:t>
      </w:r>
    </w:p>
    <w:p w:rsidR="008A31DC" w:rsidRPr="00A16726" w:rsidRDefault="00B86703" w:rsidP="00A16726">
      <w:pPr>
        <w:pStyle w:val="2"/>
        <w:widowControl w:val="0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pict>
          <v:shape id="_x0000_i1040" type="#_x0000_t75" style="width:10.5pt;height:15pt">
            <v:imagedata r:id="rId29" o:title=""/>
          </v:shape>
        </w:pict>
      </w:r>
      <w:r w:rsidR="008A31DC" w:rsidRPr="00A16726">
        <w:rPr>
          <w:color w:val="auto"/>
          <w:szCs w:val="28"/>
        </w:rPr>
        <w:t>—коэффициент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бета</w:t>
      </w:r>
      <w:r w:rsidR="006D7371">
        <w:rPr>
          <w:color w:val="auto"/>
          <w:szCs w:val="28"/>
        </w:rPr>
        <w:t xml:space="preserve"> </w:t>
      </w:r>
      <w:r w:rsidR="008A31DC" w:rsidRPr="00A16726">
        <w:rPr>
          <w:color w:val="auto"/>
          <w:szCs w:val="28"/>
        </w:rPr>
        <w:t>фонда.</w:t>
      </w:r>
    </w:p>
    <w:p w:rsidR="008A31DC" w:rsidRPr="00A16726" w:rsidRDefault="008A31DC" w:rsidP="00A1672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bCs/>
          <w:sz w:val="28"/>
          <w:szCs w:val="28"/>
        </w:rPr>
        <w:t>Коэффициент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Трейнора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показывает,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единиц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избыточной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приходится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единицу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систематического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(недиверсифицируемого)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Эталоном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отношение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избыточной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рыночного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портфеля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(</w:t>
      </w:r>
      <w:r w:rsidRPr="00A16726">
        <w:rPr>
          <w:sz w:val="28"/>
          <w:szCs w:val="28"/>
        </w:rPr>
        <w:t>r</w:t>
      </w:r>
      <w:r w:rsidR="006D7371">
        <w:rPr>
          <w:sz w:val="28"/>
          <w:szCs w:val="28"/>
          <w:vertAlign w:val="subscript"/>
        </w:rPr>
        <w:t xml:space="preserve"> </w:t>
      </w:r>
      <w:r w:rsidR="008A31DC"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rf)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</w:t>
      </w:r>
      <w:r w:rsidR="008A31DC" w:rsidRPr="00A16726">
        <w:rPr>
          <w:sz w:val="28"/>
          <w:szCs w:val="28"/>
        </w:rPr>
        <w:t>феля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превышает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значение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(r</w:t>
      </w:r>
      <w:r w:rsidR="006D7371">
        <w:rPr>
          <w:sz w:val="28"/>
          <w:szCs w:val="28"/>
        </w:rPr>
        <w:t xml:space="preserve"> </w:t>
      </w:r>
      <w:r w:rsidR="008A31DC"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rf),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RVOL</w:t>
      </w:r>
      <w:r w:rsidRPr="00A16726">
        <w:rPr>
          <w:sz w:val="28"/>
          <w:szCs w:val="28"/>
          <w:vertAlign w:val="subscript"/>
        </w:rPr>
        <w:t>m</w:t>
      </w:r>
      <w:r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считается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неэффективным.</w:t>
      </w:r>
      <w:r w:rsidR="006D7371">
        <w:rPr>
          <w:sz w:val="28"/>
          <w:szCs w:val="28"/>
        </w:rPr>
        <w:t xml:space="preserve"> </w:t>
      </w:r>
    </w:p>
    <w:p w:rsidR="00F56583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Отношение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«прибыль/убытки».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прибыль/убытки,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предложенный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Джеком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Швагером</w:t>
      </w:r>
      <w:r w:rsidR="00A3008A" w:rsidRPr="00A16726">
        <w:rPr>
          <w:rStyle w:val="a6"/>
          <w:sz w:val="28"/>
          <w:szCs w:val="28"/>
        </w:rPr>
        <w:footnoteReference w:id="26"/>
      </w:r>
      <w:r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следующей</w:t>
      </w:r>
      <w:r w:rsidR="006D7371">
        <w:rPr>
          <w:sz w:val="28"/>
          <w:szCs w:val="28"/>
        </w:rPr>
        <w:t xml:space="preserve"> </w:t>
      </w:r>
      <w:r w:rsidR="00F56583">
        <w:rPr>
          <w:sz w:val="28"/>
          <w:szCs w:val="28"/>
        </w:rPr>
        <w:t>формуле</w:t>
      </w:r>
    </w:p>
    <w:p w:rsidR="00B81FFC" w:rsidRPr="00A16726" w:rsidRDefault="00A941BD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  <w:lang w:val="en-US"/>
        </w:rPr>
        <w:t>AGRP</w:t>
      </w:r>
      <w:r w:rsidRPr="009824C9">
        <w:rPr>
          <w:sz w:val="28"/>
          <w:szCs w:val="28"/>
        </w:rPr>
        <w:t>=</w:t>
      </w:r>
      <w:r w:rsidRPr="00A16726">
        <w:rPr>
          <w:sz w:val="28"/>
          <w:szCs w:val="28"/>
          <w:lang w:val="en-US"/>
        </w:rPr>
        <w:t>AAR</w:t>
      </w:r>
      <w:r w:rsidRPr="009824C9">
        <w:rPr>
          <w:sz w:val="28"/>
          <w:szCs w:val="28"/>
        </w:rPr>
        <w:t>/</w:t>
      </w:r>
      <w:r w:rsidRPr="00A16726">
        <w:rPr>
          <w:sz w:val="28"/>
          <w:szCs w:val="28"/>
          <w:lang w:val="en-US"/>
        </w:rPr>
        <w:t>AAMR</w:t>
      </w:r>
    </w:p>
    <w:p w:rsidR="00A941BD" w:rsidRPr="00A16726" w:rsidRDefault="00A941BD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где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AAR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арифметическое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прибылей;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AAMR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падений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процентное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предшествующего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максимума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появился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предыдущий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минимума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Ввиду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небольшого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срока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помощи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брать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период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(квартал,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месяц).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Представленная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методика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модификациями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ведущих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ведущими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аналитиками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ПИФов.</w:t>
      </w:r>
      <w:r w:rsidR="006D7371">
        <w:rPr>
          <w:sz w:val="28"/>
          <w:szCs w:val="28"/>
        </w:rPr>
        <w:t xml:space="preserve"> </w:t>
      </w:r>
    </w:p>
    <w:p w:rsidR="00F56583" w:rsidRDefault="00F5658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008A" w:rsidRPr="00A16726" w:rsidRDefault="00F5658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E9288E">
        <w:rPr>
          <w:sz w:val="28"/>
          <w:szCs w:val="28"/>
        </w:rPr>
        <w:t xml:space="preserve"> </w:t>
      </w:r>
      <w:r>
        <w:rPr>
          <w:sz w:val="28"/>
          <w:szCs w:val="28"/>
        </w:rPr>
        <w:t>2.2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Проблемы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паевым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примере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«УК»МАГИСТР»</w:t>
      </w:r>
    </w:p>
    <w:p w:rsidR="00A941BD" w:rsidRPr="00A16726" w:rsidRDefault="00A941B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вышеописанных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коэффициентов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возникают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A3008A" w:rsidRPr="00A16726">
        <w:rPr>
          <w:rStyle w:val="a6"/>
          <w:sz w:val="28"/>
          <w:szCs w:val="28"/>
        </w:rPr>
        <w:footnoteReference w:id="27"/>
      </w:r>
      <w:r w:rsidRPr="00A16726">
        <w:rPr>
          <w:sz w:val="28"/>
          <w:szCs w:val="28"/>
        </w:rPr>
        <w:t>: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F56583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отсутствие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F56583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отсутствие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признанного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F56583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неадекватности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РТС;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F56583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валютных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рублевый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Рассмотрим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подробно.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Безрисковый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сожалению,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дефолта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ГКО-ОФЗ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найти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альтернативный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абсолютно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соответствующий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практике,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фактически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невозможно.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отсутствие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государственных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авторы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берут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каждый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плюсы,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минусы.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ставка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Центрального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сыграть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поскольку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воспользоваться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разместить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Центробанка,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безрисковая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альтернатива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условна.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силу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ставка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инфляции,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отрицательный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вариант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касается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6-месячному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Сбербанка,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каким-то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официальным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широко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известным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меняется.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берутся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устаревшие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цифры.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аналитиков,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6-месячному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годовому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Сбербанка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наилучшим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поскольку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безопасная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альтернатива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доступная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широкому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кругу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потенциальных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проведении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«Промышленно-Строительный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Банк».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ситуация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обстоит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сложнее,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Общепризнанного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очень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известны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«Коммерсант»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качестве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пяти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«ходовых»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выпусков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ОФЗ.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АВК-360,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отражает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динамику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однолетних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</w:t>
      </w:r>
      <w:r w:rsidR="006D7371">
        <w:rPr>
          <w:sz w:val="28"/>
          <w:szCs w:val="28"/>
          <w:vertAlign w:val="superscript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RUX-CBONDS.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журнала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плюс»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подходящим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MFD-GSFD,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входят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ОФЗ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серий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27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28,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поскольку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признанным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организатором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торговли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27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ликвидными.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Несмотря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наиболее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признанным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особенности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подчас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служить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адекватным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эталоном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Во-первых,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входят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Газпрома,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присутствуют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эмитента,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Во-вторых,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принципов: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средневзвешенной,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закрытия.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какие-то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отсутствовали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котировки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каких-либо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отражается,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расчета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учитываются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бидам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предложения),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зачастую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приводит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весьма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серьезным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различиям.</w:t>
      </w:r>
      <w:r w:rsidR="006D7371">
        <w:rPr>
          <w:sz w:val="28"/>
          <w:szCs w:val="28"/>
        </w:rPr>
        <w:t xml:space="preserve"> </w:t>
      </w:r>
    </w:p>
    <w:p w:rsidR="00B81FFC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«Индексное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агентство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Интерфакс»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готово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рассчитывать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соответствующий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подсчета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следовательно,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объективный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Несмотря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признан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западной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практике,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помнить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популярность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появится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потребуется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вошел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обиход,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какое-то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продолжаться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РТС.</w:t>
      </w:r>
      <w:r w:rsidR="006D7371">
        <w:rPr>
          <w:sz w:val="28"/>
          <w:szCs w:val="28"/>
        </w:rPr>
        <w:t xml:space="preserve"> </w:t>
      </w:r>
    </w:p>
    <w:p w:rsidR="00E06EED" w:rsidRPr="00A16726" w:rsidRDefault="00B81FFC" w:rsidP="00A167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Валюта/рубли.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устранения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противоречия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предлагается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альтернатив: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переводить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валюту,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рублевом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выражении.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пользуются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другие</w:t>
      </w:r>
      <w:r w:rsidR="006D7371">
        <w:rPr>
          <w:sz w:val="28"/>
          <w:szCs w:val="28"/>
        </w:rPr>
        <w:t xml:space="preserve"> </w:t>
      </w:r>
      <w:r w:rsidR="00A3008A" w:rsidRPr="00A16726">
        <w:rPr>
          <w:sz w:val="28"/>
          <w:szCs w:val="28"/>
        </w:rPr>
        <w:t>вторым.</w:t>
      </w:r>
    </w:p>
    <w:p w:rsidR="00A941BD" w:rsidRPr="00A16726" w:rsidRDefault="00A941B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Применимо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ведущими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индексами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табличном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выглядеть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так:</w:t>
      </w:r>
    </w:p>
    <w:p w:rsidR="00A941BD" w:rsidRPr="00A16726" w:rsidRDefault="00A941B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07.10.2008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03.04.2009</w:t>
      </w:r>
    </w:p>
    <w:p w:rsidR="00F56583" w:rsidRDefault="00F5658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41BD" w:rsidRPr="00A16726" w:rsidRDefault="00A941B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Таблица</w:t>
      </w:r>
      <w:r w:rsidR="006D7371">
        <w:rPr>
          <w:sz w:val="28"/>
          <w:szCs w:val="28"/>
        </w:rPr>
        <w:t xml:space="preserve"> </w:t>
      </w:r>
      <w:r w:rsidR="00F56583">
        <w:rPr>
          <w:sz w:val="28"/>
          <w:szCs w:val="28"/>
        </w:rPr>
        <w:t>8</w:t>
      </w:r>
    </w:p>
    <w:p w:rsidR="00F56583" w:rsidRDefault="00B8670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75pt;height:262.5pt">
            <v:imagedata r:id="rId30" o:title=""/>
          </v:shape>
        </w:pict>
      </w:r>
    </w:p>
    <w:p w:rsidR="00F56583" w:rsidRDefault="00F5658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6EED" w:rsidRPr="00A16726" w:rsidRDefault="00F5658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06EED" w:rsidRPr="00A16726">
        <w:rPr>
          <w:sz w:val="28"/>
          <w:szCs w:val="28"/>
        </w:rPr>
        <w:t>Глава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3.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Разработка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рекомендаций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повышению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качества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каменщики»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ДУ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ООО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«УК»МАГИСТР»</w:t>
      </w:r>
    </w:p>
    <w:p w:rsidR="00A941BD" w:rsidRPr="00A16726" w:rsidRDefault="00A941B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41BD" w:rsidRPr="00A16726" w:rsidRDefault="00A941B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Ознакомившись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институтом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точнее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ЗПИФНом),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давайте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выясним</w:t>
      </w:r>
      <w:r w:rsidR="006D29B1" w:rsidRPr="00A16726">
        <w:rPr>
          <w:sz w:val="28"/>
          <w:szCs w:val="28"/>
        </w:rPr>
        <w:t>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сможем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повысить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ЗПИФНа</w:t>
      </w:r>
      <w:r w:rsidR="006D29B1" w:rsidRPr="00A16726">
        <w:rPr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="006D29B1" w:rsidRPr="00A16726">
        <w:rPr>
          <w:sz w:val="28"/>
          <w:szCs w:val="28"/>
        </w:rPr>
        <w:t>Сперва,</w:t>
      </w:r>
      <w:r w:rsidR="006D7371">
        <w:rPr>
          <w:sz w:val="28"/>
          <w:szCs w:val="28"/>
        </w:rPr>
        <w:t xml:space="preserve"> </w:t>
      </w:r>
      <w:r w:rsidR="006D29B1" w:rsidRPr="00A16726">
        <w:rPr>
          <w:sz w:val="28"/>
          <w:szCs w:val="28"/>
        </w:rPr>
        <w:t>предлагаю</w:t>
      </w:r>
      <w:r w:rsidR="006D7371">
        <w:rPr>
          <w:sz w:val="28"/>
          <w:szCs w:val="28"/>
        </w:rPr>
        <w:t xml:space="preserve"> </w:t>
      </w:r>
      <w:r w:rsidR="006D29B1" w:rsidRPr="00A16726">
        <w:rPr>
          <w:sz w:val="28"/>
          <w:szCs w:val="28"/>
        </w:rPr>
        <w:t>уточнить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создается</w:t>
      </w:r>
      <w:r w:rsidR="006D29B1" w:rsidRPr="00A16726">
        <w:rPr>
          <w:sz w:val="28"/>
          <w:szCs w:val="28"/>
        </w:rPr>
        <w:t>: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1.Привлечение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инвестиций: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F56583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имеющийся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F56583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готовящиеся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последующей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продажи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инвесторам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F56583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инновационные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технологически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потенциальных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исключительно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F56583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предприятия,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желающие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расширить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найти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F56583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предприятия,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испытывающие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трудности,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кризиса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последующей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перепродажи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2.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партнеров/контрагентов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рыночную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имеющегося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бизнеса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3.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налоговых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преференций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4.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Реструктуризация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посредством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внесения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5.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различных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категорий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недвижимостью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6.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себестоимости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эксплуатации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7.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институтов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8.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Объединение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физических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9.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кредитного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партнерских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отношений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10.</w:t>
      </w:r>
      <w:r w:rsidR="00F56583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понятного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приемлемого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иностранных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экономику</w:t>
      </w:r>
      <w:r w:rsidR="006D7371">
        <w:rPr>
          <w:sz w:val="28"/>
          <w:szCs w:val="28"/>
        </w:rPr>
        <w:t xml:space="preserve"> 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Уточнив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предложение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Предлагаю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рассмотреть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предложение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конкретном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примере:</w:t>
      </w: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Юридическое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владеет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площадью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(4000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метры,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приносящие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сдачи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аренду).</w:t>
      </w: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Рыночная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12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долл.</w:t>
      </w: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Валовой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сдачи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аренду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США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ежегодно.</w:t>
      </w: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Связанные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технической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эксплуатацией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расходы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долл.</w:t>
      </w: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Вашему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вниманию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предлагается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пример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находящемся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балансе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ответственностью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</w:p>
    <w:p w:rsidR="00F56583" w:rsidRDefault="00F56583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6726">
        <w:rPr>
          <w:bCs/>
          <w:sz w:val="28"/>
          <w:szCs w:val="28"/>
        </w:rPr>
        <w:t>Здание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05"/>
        <w:gridCol w:w="3191"/>
      </w:tblGrid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$/кв.м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Итого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Рыночная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стоимость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здания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500,00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12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500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Балансовая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стоимость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здания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500,00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7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500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$/кв.м/мес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Год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Чистая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арендная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плата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500,00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</w:tbl>
    <w:p w:rsidR="00284353" w:rsidRDefault="00284353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6726">
        <w:rPr>
          <w:bCs/>
          <w:sz w:val="28"/>
          <w:szCs w:val="28"/>
        </w:rPr>
        <w:t>Расчет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эффективности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05"/>
        <w:gridCol w:w="3191"/>
      </w:tblGrid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на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балансе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ООО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В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составе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ЗПИФ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Валовый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доход,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Расходы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на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управление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недвижимостью,$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Расходы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на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ЗПИФН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(2%),$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250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Доход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до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налогообложения,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900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650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Налог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на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имущество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(2,2%),$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165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-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Налог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на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прибыль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(24%),$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456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-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bCs/>
                <w:sz w:val="20"/>
                <w:szCs w:val="20"/>
              </w:rPr>
              <w:t>Чистый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доход,</w:t>
            </w:r>
            <w:r w:rsidR="006D7371" w:rsidRPr="000E3C65">
              <w:rPr>
                <w:bCs/>
                <w:sz w:val="20"/>
                <w:szCs w:val="20"/>
              </w:rPr>
              <w:t xml:space="preserve"> </w:t>
            </w:r>
            <w:r w:rsidRPr="000E3C65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279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650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</w:tr>
      <w:tr w:rsidR="00E06EED" w:rsidRPr="000E3C65" w:rsidTr="000E3C65">
        <w:tc>
          <w:tcPr>
            <w:tcW w:w="3190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Разница,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$</w:t>
            </w:r>
          </w:p>
        </w:tc>
        <w:tc>
          <w:tcPr>
            <w:tcW w:w="2305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E3C65">
              <w:rPr>
                <w:sz w:val="20"/>
                <w:szCs w:val="20"/>
              </w:rPr>
              <w:t>371</w:t>
            </w:r>
            <w:r w:rsidR="006D7371" w:rsidRPr="000E3C65">
              <w:rPr>
                <w:sz w:val="20"/>
                <w:szCs w:val="20"/>
              </w:rPr>
              <w:t xml:space="preserve"> </w:t>
            </w:r>
            <w:r w:rsidRPr="000E3C65">
              <w:rPr>
                <w:sz w:val="20"/>
                <w:szCs w:val="20"/>
              </w:rPr>
              <w:t>000,00</w:t>
            </w:r>
          </w:p>
        </w:tc>
        <w:tc>
          <w:tcPr>
            <w:tcW w:w="3191" w:type="dxa"/>
            <w:shd w:val="clear" w:color="auto" w:fill="auto"/>
          </w:tcPr>
          <w:p w:rsidR="00E06EED" w:rsidRPr="000E3C65" w:rsidRDefault="00E06EED" w:rsidP="000E3C6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84353" w:rsidRDefault="00284353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E06EED" w:rsidRPr="00A16726" w:rsidRDefault="00E06EED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6726">
        <w:rPr>
          <w:bCs/>
          <w:sz w:val="28"/>
          <w:szCs w:val="28"/>
        </w:rPr>
        <w:t>В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случае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управления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зданием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через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ООО,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доход,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который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уплат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налогов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составлял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1900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000долл.,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после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налогообложения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уменьшился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на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621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000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долл.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И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стал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составлять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1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279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000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долл.,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то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время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как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управлении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зданием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через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ЗПИФ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позволило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избежать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налогообложения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и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сохранить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годовую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прибыль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размере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1650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000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долл.</w:t>
      </w:r>
    </w:p>
    <w:p w:rsidR="00E06EED" w:rsidRPr="00A16726" w:rsidRDefault="006D29B1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6726">
        <w:rPr>
          <w:bCs/>
          <w:sz w:val="28"/>
          <w:szCs w:val="28"/>
        </w:rPr>
        <w:t>Т.о.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пользуясь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льготным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налоговым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режимом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ЗПИФНа,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можно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избежать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налогообложения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и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сохранить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годовую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прибыль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разы.</w:t>
      </w:r>
    </w:p>
    <w:p w:rsidR="006D29B1" w:rsidRPr="00A16726" w:rsidRDefault="006D29B1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6726">
        <w:rPr>
          <w:bCs/>
          <w:sz w:val="28"/>
          <w:szCs w:val="28"/>
        </w:rPr>
        <w:t>Уточним,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что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данное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предложение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особенно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выгодно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для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тех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предприятий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чьи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здания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сдаются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аренду.</w:t>
      </w:r>
    </w:p>
    <w:p w:rsidR="00E06EED" w:rsidRPr="00A16726" w:rsidRDefault="006D29B1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Рассмотрим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субъекты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предложения,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т.е.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</w:t>
      </w:r>
      <w:r w:rsidR="00E06EED" w:rsidRPr="00A16726">
        <w:rPr>
          <w:sz w:val="28"/>
          <w:szCs w:val="28"/>
        </w:rPr>
        <w:t>чредителями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="00E06EED" w:rsidRPr="00A16726">
        <w:rPr>
          <w:sz w:val="28"/>
          <w:szCs w:val="28"/>
        </w:rPr>
        <w:t>фондов</w:t>
      </w:r>
      <w:r w:rsidRPr="00A16726">
        <w:rPr>
          <w:sz w:val="28"/>
          <w:szCs w:val="28"/>
        </w:rPr>
        <w:t>: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Предприятия,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желающие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Предприятия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проекты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желающие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дополнительные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проектов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желающие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перейти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налогообложения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Строительные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увеличения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объемов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строительства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Девелоперские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заинтересованные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увеличении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объемов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налоговых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преференций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Российские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коммерческие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испытывающие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проблемы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излишней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отсутствием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надежных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заемщиков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долговым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бумагам.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Коммерческие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промышленные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собственностью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предпродажной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подготовки,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заинтересованные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расширении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технологий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планирующие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провести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реструктуризацию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бизнеса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выделение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непрофильных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посредством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выведения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Институциональные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(страховые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негосударственные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пенсионные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фонды),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«длинные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деньги»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диверсификации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повышения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Государственные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муниципальные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структуры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целях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аккумулирования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бюджетных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ресурсов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проектов</w:t>
      </w:r>
      <w:r w:rsidR="006D7371">
        <w:rPr>
          <w:sz w:val="28"/>
          <w:szCs w:val="28"/>
        </w:rPr>
        <w:t xml:space="preserve"> </w:t>
      </w:r>
    </w:p>
    <w:p w:rsidR="00E06EED" w:rsidRPr="00A16726" w:rsidRDefault="00E06EED" w:rsidP="00284353">
      <w:pPr>
        <w:widowControl w:val="0"/>
        <w:numPr>
          <w:ilvl w:val="0"/>
          <w:numId w:val="11"/>
        </w:numPr>
        <w:tabs>
          <w:tab w:val="clear" w:pos="720"/>
          <w:tab w:val="num" w:pos="54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Физические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хорошую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альтернативу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долгосрочным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банковским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депозитам</w:t>
      </w:r>
      <w:r w:rsidR="00284353">
        <w:rPr>
          <w:sz w:val="28"/>
          <w:szCs w:val="28"/>
        </w:rPr>
        <w:t>.</w:t>
      </w:r>
    </w:p>
    <w:p w:rsidR="00284353" w:rsidRDefault="00284353" w:rsidP="00A16726">
      <w:pPr>
        <w:widowControl w:val="0"/>
        <w:tabs>
          <w:tab w:val="num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7086" w:rsidRPr="00A16726" w:rsidRDefault="00284353" w:rsidP="00A16726">
      <w:pPr>
        <w:widowControl w:val="0"/>
        <w:tabs>
          <w:tab w:val="num" w:pos="54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47086" w:rsidRPr="00A16726">
        <w:rPr>
          <w:sz w:val="28"/>
          <w:szCs w:val="28"/>
        </w:rPr>
        <w:t>Заключение</w:t>
      </w:r>
    </w:p>
    <w:p w:rsidR="00284353" w:rsidRDefault="00284353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47086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Принятие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2001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фондах»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создало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благоприятные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условия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института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коллективных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</w:p>
    <w:p w:rsidR="00F47086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специфику: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Количество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выдаваемых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указывается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Количество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выдаваемых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ограничено.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Отсутствие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обязательства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(далее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погашению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прекращения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исключением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случая,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голосовал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принимал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голосовании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определенному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перечню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собрания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пайщиков).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следствие,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поддерживать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текущую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долгосрочных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Изменения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дополнения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утверждаются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собранием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владельцев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Возможность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ежегодной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выплаты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предусмотрено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ЗПИФа).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досрочно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прекращен.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входить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предусмотренное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284353">
      <w:pPr>
        <w:widowControl w:val="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Инвестиционный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удостоверяет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участвовать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собрании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владельцев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паев.</w:t>
      </w:r>
      <w:r w:rsidR="006D7371">
        <w:rPr>
          <w:sz w:val="28"/>
          <w:szCs w:val="28"/>
        </w:rPr>
        <w:t xml:space="preserve"> </w:t>
      </w:r>
    </w:p>
    <w:p w:rsidR="00F47086" w:rsidRPr="00A16726" w:rsidRDefault="006D29B1" w:rsidP="00A1672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6726">
        <w:rPr>
          <w:bCs/>
          <w:sz w:val="28"/>
          <w:szCs w:val="28"/>
        </w:rPr>
        <w:t>Также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тезисно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вычленим</w:t>
      </w:r>
      <w:r w:rsidR="006D7371">
        <w:rPr>
          <w:bCs/>
          <w:sz w:val="28"/>
          <w:szCs w:val="28"/>
        </w:rPr>
        <w:t xml:space="preserve"> </w:t>
      </w:r>
      <w:r w:rsidRPr="00A16726">
        <w:rPr>
          <w:bCs/>
          <w:sz w:val="28"/>
          <w:szCs w:val="28"/>
        </w:rPr>
        <w:t>п</w:t>
      </w:r>
      <w:r w:rsidR="00F47086" w:rsidRPr="00A16726">
        <w:rPr>
          <w:bCs/>
          <w:sz w:val="28"/>
          <w:szCs w:val="28"/>
        </w:rPr>
        <w:t>реимущества</w:t>
      </w:r>
      <w:r w:rsidR="006D7371">
        <w:rPr>
          <w:bCs/>
          <w:sz w:val="28"/>
          <w:szCs w:val="28"/>
        </w:rPr>
        <w:t xml:space="preserve"> </w:t>
      </w:r>
      <w:r w:rsidR="00F47086" w:rsidRPr="00A16726">
        <w:rPr>
          <w:bCs/>
          <w:sz w:val="28"/>
          <w:szCs w:val="28"/>
        </w:rPr>
        <w:t>ЗПИФ</w:t>
      </w:r>
      <w:r w:rsidRPr="00A16726">
        <w:rPr>
          <w:bCs/>
          <w:sz w:val="28"/>
          <w:szCs w:val="28"/>
        </w:rPr>
        <w:t>: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Высокая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доходность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(по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сравнению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банковскими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вкладами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или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депозитами)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достаточная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надежность</w:t>
      </w:r>
      <w:r w:rsidR="006D29B1" w:rsidRPr="00A16726">
        <w:rPr>
          <w:rStyle w:val="a8"/>
          <w:b w:val="0"/>
          <w:sz w:val="28"/>
          <w:szCs w:val="28"/>
        </w:rPr>
        <w:t>.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Инвестор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(пайщик)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является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собственником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имущества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фонда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(пайщик)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собственником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становится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долевых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собственников,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имеющих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составляющем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акционерном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обществе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обществе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ответственностью,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(пайщик)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обладает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обязательственными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отношении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удостоверяются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правами.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свидетельствует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юридической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защищенности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Особый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налоговый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режим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Гарантируя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высокую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сравнению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остальными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защиты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устанавливает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вообще,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частности,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льготный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режим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налогообложения.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ситуация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преимущество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организационно-правовыми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формами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хозяйственной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и/или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вложений.</w:t>
      </w:r>
    </w:p>
    <w:p w:rsidR="00284353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Информационная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открытость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прозрачность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деятельности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предусмотрена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обязанность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публиковать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результаты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облегчает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доступ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заинтересованным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лицам.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существенно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помогает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раскрытия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информации,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РR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продвижения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такового.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Специалисты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очень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подробно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рассказывают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потенциальным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покупателям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процессах,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ожидаемой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существующих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далее.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отметить,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довольно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заинтересованно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следит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деятельностью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неплохо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освещает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развития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Возможность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получения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пайщиками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регулярного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промежуточного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дохода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без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уменьшения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общего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количества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паев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(пайщика)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образуется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прекращения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(после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истечения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срока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функционирования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предусмотрена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(пайщиками)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промежуточного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(аналогичного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дивидендам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АО).</w:t>
      </w:r>
    </w:p>
    <w:p w:rsidR="00284353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Высокая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ликвидность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недвижимого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имущества,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входящего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в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состав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ЗПИФ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за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счет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вторичного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обращения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паев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переданная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приобретает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дополнительную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благодаря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вторичном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биржевом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(ММВБ,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РТС)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помощью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внебиржевого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владелец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(владелец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захочет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кредит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небольшой),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закладывать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путем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залога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раньше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было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необходимо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закладывать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целиком.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вкладчика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каком-либо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удостоверяющий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долевую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собственность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составляющих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продукт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сбалансирован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индивидуален,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нежели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прямом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инвестировании.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Прозрачный,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нормативно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урегулированный,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инфраструктурно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контролируемый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институт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финансового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рынка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Обслуживание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независимыми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организациями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компанией,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спецдепозитарием,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регистратором,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аудитором,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оценщиком).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Система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четырех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обеспечивает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надежность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позволяет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максимально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защитить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В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имущество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ЗПИФа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могут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быть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переданы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не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только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денежные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средства,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ценные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бумаги,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недвижимость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права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на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недвижимое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имущество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устанавливает,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открытым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интервальным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передано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недвижимое).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передано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закрытый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понимаются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«находящиеся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территории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земельные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обособленные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водные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землей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перемещение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без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несоразмерного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ущерба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назначению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невозможно,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здания,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сооружения,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жилые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нежилые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помещения,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леса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многолетние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насаждения,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кондоминиумы,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предприятия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комплексы,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исключением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отчуждение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запрещено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законодательством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Российской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Федерации».</w:t>
      </w:r>
      <w:r w:rsidR="006D7371">
        <w:rPr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Повышение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доходности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инвестиционного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портфеля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недвижимости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напрямую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один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сразу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несколько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причем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застройщиков,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сегментах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(новостройки,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загородная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офисы)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регионах.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девелоперские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диверсифицированы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образом,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неудача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меньшей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степени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скажется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соответственно,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пая.</w:t>
      </w:r>
      <w:r w:rsidR="006D7371">
        <w:rPr>
          <w:sz w:val="28"/>
          <w:szCs w:val="28"/>
        </w:rPr>
        <w:t xml:space="preserve"> </w:t>
      </w:r>
    </w:p>
    <w:p w:rsidR="00BE3119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ЗПИФ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–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способ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привлечения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«длинных»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денег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от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частного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инвестора</w:t>
      </w:r>
      <w:r w:rsidR="006D29B1" w:rsidRPr="00A16726">
        <w:rPr>
          <w:rStyle w:val="a8"/>
          <w:b w:val="0"/>
          <w:sz w:val="28"/>
          <w:szCs w:val="28"/>
        </w:rPr>
        <w:t>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Устойчивый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продолжительный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привлекает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внимание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последнее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время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пристального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внимания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стал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недвижимости.</w:t>
      </w:r>
      <w:r w:rsidR="006D7371">
        <w:rPr>
          <w:sz w:val="28"/>
          <w:szCs w:val="28"/>
        </w:rPr>
        <w:t xml:space="preserve"> </w:t>
      </w:r>
    </w:p>
    <w:p w:rsidR="00BE3119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ЗПИФы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нужный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оказались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стыке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двух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сторон,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нуждаются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"длинных"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деньгах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сторонних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собственных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реализации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крупных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хватает.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br/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точки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зрения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покупка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привлекательна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покупка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доступными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даже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непрофессиональных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розничных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заметно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расширяют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перечень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возможных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направлений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уступают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показателям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прямым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инвестициям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недвижимости.</w:t>
      </w:r>
    </w:p>
    <w:p w:rsidR="00284353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Федеральным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«Об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долевом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многоквартирных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домов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№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214-ФЗ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30.12.2004,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застройщик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вправе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привлекать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денежные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участников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долевого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многоквартирного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получения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установленном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порядке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разрешения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опубликования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размещения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проектной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декларации.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ЗПИФах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ограничений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–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начинается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регистрации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Доверительного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фондом.</w:t>
      </w:r>
    </w:p>
    <w:p w:rsidR="00284353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основном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используют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привлечения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кредиты,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выдача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векселей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выпуск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облигаций.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Однако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строительство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заемного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долгового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процесс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дорогостоящий,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конечном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счете,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отображается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недвижимости.</w:t>
      </w:r>
    </w:p>
    <w:p w:rsidR="00F47086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дешевым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перспективным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является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заемное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долговое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финансирование,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долевое,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помощи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ЗПИФ.</w:t>
      </w:r>
      <w:r w:rsidR="006D7371">
        <w:rPr>
          <w:sz w:val="28"/>
          <w:szCs w:val="28"/>
        </w:rPr>
        <w:t xml:space="preserve"> </w:t>
      </w:r>
    </w:p>
    <w:p w:rsidR="00BE3119" w:rsidRPr="00A16726" w:rsidRDefault="00F47086" w:rsidP="00A16726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A16726">
        <w:rPr>
          <w:rStyle w:val="a8"/>
          <w:b w:val="0"/>
          <w:sz w:val="28"/>
          <w:szCs w:val="28"/>
        </w:rPr>
        <w:t>ЗПИФ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-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известный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финансовый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инструмент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для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зарубежных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инвесторов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-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потенциальных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инвесторов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в</w:t>
      </w:r>
      <w:r w:rsidR="006D7371">
        <w:rPr>
          <w:rStyle w:val="a8"/>
          <w:b w:val="0"/>
          <w:sz w:val="28"/>
          <w:szCs w:val="28"/>
        </w:rPr>
        <w:t xml:space="preserve"> </w:t>
      </w:r>
      <w:r w:rsidRPr="00A16726">
        <w:rPr>
          <w:rStyle w:val="a8"/>
          <w:b w:val="0"/>
          <w:sz w:val="28"/>
          <w:szCs w:val="28"/>
        </w:rPr>
        <w:t>сфере</w:t>
      </w:r>
      <w:r w:rsidR="006D7371">
        <w:rPr>
          <w:rStyle w:val="a8"/>
          <w:b w:val="0"/>
          <w:sz w:val="28"/>
          <w:szCs w:val="28"/>
        </w:rPr>
        <w:t xml:space="preserve"> </w:t>
      </w:r>
    </w:p>
    <w:p w:rsidR="00F47086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Однако,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декларируя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достоинства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часто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забывают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недостатках.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Эксперты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Jones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Lang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La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Salle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утверждают,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если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небольшой,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большие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затраты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управляющую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значительно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повлиять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Что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мы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видимо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рассматриваемом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нами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«Вольные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каменщики»,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который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значительно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проигрывает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одному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двенадцати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ПИФов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="00BE3119" w:rsidRPr="00A16726">
        <w:rPr>
          <w:sz w:val="28"/>
          <w:szCs w:val="28"/>
        </w:rPr>
        <w:t>Красноярска.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Кроме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считают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Astera,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брокерские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издержки,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несут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себе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доходность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</w:p>
    <w:p w:rsidR="00F47086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Помимо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этого,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продолжают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эксперты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из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Jones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Lang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La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Salle,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минимальный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равно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достаточно</w:t>
      </w:r>
      <w:r w:rsidR="006D7371">
        <w:rPr>
          <w:sz w:val="28"/>
          <w:szCs w:val="28"/>
        </w:rPr>
        <w:t xml:space="preserve"> </w:t>
      </w:r>
      <w:r w:rsidR="00284353">
        <w:rPr>
          <w:sz w:val="28"/>
          <w:szCs w:val="28"/>
        </w:rPr>
        <w:t>большим.</w:t>
      </w:r>
    </w:p>
    <w:p w:rsidR="00BE3119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так.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Например,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"Финам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менеджмент"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минимальная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сумма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500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тыс.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забывать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управляющей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порядка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1,5%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среднегодовой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расходы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обслуживанию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заканчиваются.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Размер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участникам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специализированного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депозитария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(юридическое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занимается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хранением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имущества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ПИФа),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регистратора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(юридическое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лицо,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осуществляющее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ведение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реестра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владельцев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паев)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аудитора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учетом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НДС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порядка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0,5%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среднегодовой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"Максвелл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Капитал"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минимальная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составляет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300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тыс.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руб.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порядка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2%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среднегодовой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вознаграждение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участникам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составит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порядка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1,5%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среднегодовой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стоимости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чистых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фонда.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прочих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недостатков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аналитики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Jones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Lang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La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Salle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отмечают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недостаточный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контроль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вложенными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средствами.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отмечают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эксперты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Astera,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"хотя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могут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представлять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интерес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людей,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пытающихся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воспользоваться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неэффективностью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ценообразования,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комиссионные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связанные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делают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эффективными".</w:t>
      </w:r>
    </w:p>
    <w:p w:rsidR="00BE3119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одно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обстоятельство,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которое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делает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привлекательным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риски.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идее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обязана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предупредить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потенциального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рисках,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подвержен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капитал.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правило,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отмечает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вице-президент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="00284353">
        <w:rPr>
          <w:sz w:val="28"/>
          <w:szCs w:val="28"/>
        </w:rPr>
        <w:t>Арсагера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А.Поляков,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выделяют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страновой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валютный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снижения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общего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уровня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недвижимость,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потери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ликвидности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объекта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другие".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этом,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отмечает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директор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"Финам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Менеджмент"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С.Хестанов,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"самый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главный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непрозрачность.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Пайщикам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можно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посоветовать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покупать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только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чьи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активы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или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управляющие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хорошо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знакомы".</w:t>
      </w:r>
    </w:p>
    <w:p w:rsidR="00BE3119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эксперты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компании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Astera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выделяют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целый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ряд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рисков,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подвержены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средства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пайщиков: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"Это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способность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менеджеров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действовать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соответствии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требованиями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инвестиционных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портфелем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те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моменты,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ценные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бумаги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погашены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либо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проданы,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когда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рынок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находится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суматохе,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ожидания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инвесторов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относительно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фондов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своих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инвестиций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постоянно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меняются"</w:t>
      </w:r>
      <w:r w:rsidR="00BE3119" w:rsidRPr="00A16726">
        <w:rPr>
          <w:rStyle w:val="a6"/>
          <w:sz w:val="28"/>
          <w:szCs w:val="28"/>
        </w:rPr>
        <w:footnoteReference w:id="28"/>
      </w:r>
      <w:r w:rsidRPr="00A16726">
        <w:rPr>
          <w:sz w:val="28"/>
          <w:szCs w:val="28"/>
        </w:rPr>
        <w:t>.</w:t>
      </w:r>
    </w:p>
    <w:p w:rsidR="00F47086" w:rsidRPr="00A16726" w:rsidRDefault="00F47086" w:rsidP="00A16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6726">
        <w:rPr>
          <w:sz w:val="28"/>
          <w:szCs w:val="28"/>
        </w:rPr>
        <w:t>Как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видим,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России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все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же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новый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еще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конца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проработана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законодательная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база,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принципы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работы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УК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решен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самый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главный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вопрос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-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где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взять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профессионалов,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которые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будут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управлять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столь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быстро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появляющимися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рынке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ЗПИФН?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Поэтому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на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сегодняшний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день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ЗПИФН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остаются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выгодным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инструментом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инвестирования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лишь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для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профессиональных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игроков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финансового</w:t>
      </w:r>
      <w:r w:rsidR="006D7371">
        <w:rPr>
          <w:sz w:val="28"/>
          <w:szCs w:val="28"/>
        </w:rPr>
        <w:t xml:space="preserve"> </w:t>
      </w:r>
      <w:r w:rsidRPr="00A16726">
        <w:rPr>
          <w:sz w:val="28"/>
          <w:szCs w:val="28"/>
        </w:rPr>
        <w:t>рынка.</w:t>
      </w:r>
    </w:p>
    <w:p w:rsidR="00BE3119" w:rsidRPr="000E3C65" w:rsidRDefault="00BE3119" w:rsidP="00284353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BE3119" w:rsidRPr="000E3C65" w:rsidSect="00A16726">
      <w:headerReference w:type="default" r:id="rId31"/>
      <w:footerReference w:type="even" r:id="rId32"/>
      <w:headerReference w:type="first" r:id="rId33"/>
      <w:type w:val="nextColumn"/>
      <w:pgSz w:w="11907" w:h="16840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65" w:rsidRDefault="000E3C65">
      <w:r>
        <w:separator/>
      </w:r>
    </w:p>
  </w:endnote>
  <w:endnote w:type="continuationSeparator" w:id="0">
    <w:p w:rsidR="000E3C65" w:rsidRDefault="000E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948" w:rsidRDefault="00974948" w:rsidP="00DD749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74948" w:rsidRDefault="009749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65" w:rsidRDefault="000E3C65">
      <w:r>
        <w:separator/>
      </w:r>
    </w:p>
  </w:footnote>
  <w:footnote w:type="continuationSeparator" w:id="0">
    <w:p w:rsidR="000E3C65" w:rsidRDefault="000E3C65">
      <w:r>
        <w:continuationSeparator/>
      </w:r>
    </w:p>
  </w:footnote>
  <w:footnote w:id="1">
    <w:p w:rsidR="00974948" w:rsidRPr="00CF75B0" w:rsidRDefault="00974948" w:rsidP="00622360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CF75B0">
        <w:rPr>
          <w:color w:val="000000"/>
          <w:position w:val="10"/>
          <w:sz w:val="20"/>
          <w:szCs w:val="20"/>
          <w:vertAlign w:val="superscript"/>
        </w:rPr>
        <w:t xml:space="preserve"> </w:t>
      </w:r>
      <w:r w:rsidRPr="00CF75B0">
        <w:rPr>
          <w:color w:val="000000"/>
          <w:sz w:val="20"/>
          <w:szCs w:val="20"/>
        </w:rPr>
        <w:t xml:space="preserve">Шарп У., Александер Г., Бэйли Дж. Инвестиции. М, 1997. С. 212. </w:t>
      </w:r>
    </w:p>
    <w:p w:rsidR="000E3C65" w:rsidRDefault="00974948" w:rsidP="00622360">
      <w:pPr>
        <w:autoSpaceDE w:val="0"/>
        <w:autoSpaceDN w:val="0"/>
        <w:adjustRightInd w:val="0"/>
        <w:spacing w:line="360" w:lineRule="auto"/>
      </w:pPr>
      <w:r w:rsidRPr="00CF75B0">
        <w:rPr>
          <w:color w:val="000000"/>
          <w:sz w:val="20"/>
          <w:szCs w:val="20"/>
        </w:rPr>
        <w:t>Боди З., Мертон Р</w:t>
      </w:r>
      <w:r w:rsidR="009824C9">
        <w:rPr>
          <w:color w:val="000000"/>
          <w:sz w:val="20"/>
          <w:szCs w:val="20"/>
        </w:rPr>
        <w:t xml:space="preserve">. Финансы. М., 2004. С. 41-42. </w:t>
      </w:r>
    </w:p>
  </w:footnote>
  <w:footnote w:id="2">
    <w:p w:rsidR="000E3C65" w:rsidRDefault="00974948" w:rsidP="00622360">
      <w:pPr>
        <w:pStyle w:val="a4"/>
      </w:pPr>
      <w:r>
        <w:rPr>
          <w:rStyle w:val="a6"/>
        </w:rPr>
        <w:footnoteRef/>
      </w:r>
      <w:r>
        <w:t xml:space="preserve"> </w:t>
      </w:r>
      <w:r w:rsidRPr="00485D32">
        <w:rPr>
          <w:lang w:val="en-US"/>
        </w:rPr>
        <w:t>http</w:t>
      </w:r>
      <w:r w:rsidRPr="009824C9">
        <w:t>://</w:t>
      </w:r>
      <w:r w:rsidRPr="00485D32">
        <w:rPr>
          <w:lang w:val="en-US"/>
        </w:rPr>
        <w:t>www</w:t>
      </w:r>
      <w:r w:rsidRPr="009824C9">
        <w:t>.</w:t>
      </w:r>
      <w:r>
        <w:rPr>
          <w:lang w:val="en-US"/>
        </w:rPr>
        <w:t>rbk</w:t>
      </w:r>
      <w:r w:rsidRPr="009824C9">
        <w:t>.</w:t>
      </w:r>
      <w:r w:rsidRPr="00485D32">
        <w:rPr>
          <w:lang w:val="en-US"/>
        </w:rPr>
        <w:t>ru</w:t>
      </w:r>
    </w:p>
  </w:footnote>
  <w:footnote w:id="3">
    <w:p w:rsidR="000E3C65" w:rsidRDefault="00974948" w:rsidP="00622360">
      <w:pPr>
        <w:autoSpaceDE w:val="0"/>
        <w:autoSpaceDN w:val="0"/>
        <w:adjustRightInd w:val="0"/>
        <w:spacing w:line="360" w:lineRule="auto"/>
      </w:pPr>
      <w:r>
        <w:rPr>
          <w:rStyle w:val="a6"/>
        </w:rPr>
        <w:footnoteRef/>
      </w:r>
      <w:r w:rsidRPr="00622360">
        <w:rPr>
          <w:lang w:val="en-US"/>
        </w:rPr>
        <w:t xml:space="preserve"> </w:t>
      </w:r>
      <w:r w:rsidRPr="00622360">
        <w:rPr>
          <w:color w:val="000000"/>
          <w:sz w:val="20"/>
          <w:szCs w:val="20"/>
          <w:lang w:val="en-US"/>
        </w:rPr>
        <w:t xml:space="preserve">Murguia A., Umemoto T. Portfolio analysis in the crosschairs. Journal of Financial Planning. 2002. № 9. </w:t>
      </w:r>
      <w:r w:rsidRPr="00622360">
        <w:rPr>
          <w:color w:val="000000"/>
          <w:sz w:val="20"/>
          <w:szCs w:val="20"/>
        </w:rPr>
        <w:t>Р</w:t>
      </w:r>
      <w:r w:rsidR="009824C9">
        <w:rPr>
          <w:color w:val="000000"/>
          <w:sz w:val="20"/>
          <w:szCs w:val="20"/>
          <w:lang w:val="en-US"/>
        </w:rPr>
        <w:t xml:space="preserve">. 9-24. </w:t>
      </w:r>
    </w:p>
  </w:footnote>
  <w:footnote w:id="4">
    <w:p w:rsidR="000E3C65" w:rsidRDefault="00974948" w:rsidP="00622360">
      <w:pPr>
        <w:autoSpaceDE w:val="0"/>
        <w:autoSpaceDN w:val="0"/>
        <w:adjustRightInd w:val="0"/>
        <w:spacing w:line="360" w:lineRule="auto"/>
      </w:pPr>
      <w:r>
        <w:rPr>
          <w:rStyle w:val="a6"/>
        </w:rPr>
        <w:footnoteRef/>
      </w:r>
      <w:r w:rsidRPr="00622360">
        <w:rPr>
          <w:lang w:val="en-US"/>
        </w:rPr>
        <w:t xml:space="preserve"> </w:t>
      </w:r>
      <w:r w:rsidRPr="00622360">
        <w:rPr>
          <w:color w:val="000000"/>
          <w:sz w:val="20"/>
          <w:szCs w:val="20"/>
          <w:lang w:val="en-US"/>
        </w:rPr>
        <w:t xml:space="preserve">Kaminsky G., Lyons R.K., Schmukler S.L. Managers, investors, and crises: mutual fund strategies in emerging markets. Journal of International Economics. 2004. Vol. 64, № 1. </w:t>
      </w:r>
      <w:r w:rsidRPr="00622360">
        <w:rPr>
          <w:color w:val="000000"/>
          <w:sz w:val="20"/>
          <w:szCs w:val="20"/>
        </w:rPr>
        <w:t>Р</w:t>
      </w:r>
      <w:r w:rsidR="009824C9">
        <w:rPr>
          <w:color w:val="000000"/>
          <w:sz w:val="20"/>
          <w:szCs w:val="20"/>
          <w:lang w:val="en-US"/>
        </w:rPr>
        <w:t xml:space="preserve">. 113-134. </w:t>
      </w:r>
    </w:p>
  </w:footnote>
  <w:footnote w:id="5">
    <w:p w:rsidR="000E3C65" w:rsidRDefault="00974948" w:rsidP="00622360">
      <w:pPr>
        <w:autoSpaceDE w:val="0"/>
        <w:autoSpaceDN w:val="0"/>
        <w:adjustRightInd w:val="0"/>
        <w:spacing w:line="360" w:lineRule="auto"/>
        <w:jc w:val="both"/>
      </w:pPr>
      <w:r>
        <w:rPr>
          <w:rStyle w:val="a6"/>
        </w:rPr>
        <w:footnoteRef/>
      </w:r>
      <w:r w:rsidRPr="009824C9">
        <w:rPr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Кухоцкий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К</w:t>
      </w:r>
      <w:r w:rsidRPr="009824C9">
        <w:rPr>
          <w:color w:val="000000"/>
          <w:sz w:val="20"/>
          <w:szCs w:val="20"/>
          <w:lang w:val="en-US"/>
        </w:rPr>
        <w:t xml:space="preserve">., </w:t>
      </w:r>
      <w:r w:rsidRPr="00622360">
        <w:rPr>
          <w:color w:val="000000"/>
          <w:sz w:val="20"/>
          <w:szCs w:val="20"/>
        </w:rPr>
        <w:t>Лысцов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А</w:t>
      </w:r>
      <w:r w:rsidRPr="009824C9">
        <w:rPr>
          <w:color w:val="000000"/>
          <w:sz w:val="20"/>
          <w:szCs w:val="20"/>
          <w:lang w:val="en-US"/>
        </w:rPr>
        <w:t xml:space="preserve">., </w:t>
      </w:r>
      <w:r w:rsidRPr="00622360">
        <w:rPr>
          <w:color w:val="000000"/>
          <w:sz w:val="20"/>
          <w:szCs w:val="20"/>
        </w:rPr>
        <w:t>Окулов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В</w:t>
      </w:r>
      <w:r w:rsidRPr="009824C9">
        <w:rPr>
          <w:color w:val="000000"/>
          <w:sz w:val="20"/>
          <w:szCs w:val="20"/>
          <w:lang w:val="en-US"/>
        </w:rPr>
        <w:t xml:space="preserve">. </w:t>
      </w:r>
      <w:r w:rsidRPr="00622360">
        <w:rPr>
          <w:color w:val="000000"/>
          <w:sz w:val="20"/>
          <w:szCs w:val="20"/>
        </w:rPr>
        <w:t>Эталонные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показатели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эффективности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управления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паевыми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инвестиционными</w:t>
      </w:r>
      <w:r w:rsidRPr="009824C9">
        <w:rPr>
          <w:color w:val="000000"/>
          <w:sz w:val="20"/>
          <w:szCs w:val="20"/>
          <w:lang w:val="en-US"/>
        </w:rPr>
        <w:t xml:space="preserve"> </w:t>
      </w:r>
      <w:r w:rsidRPr="00622360">
        <w:rPr>
          <w:color w:val="000000"/>
          <w:sz w:val="20"/>
          <w:szCs w:val="20"/>
        </w:rPr>
        <w:t>фондами</w:t>
      </w:r>
      <w:r w:rsidRPr="009824C9">
        <w:rPr>
          <w:color w:val="000000"/>
          <w:sz w:val="20"/>
          <w:szCs w:val="20"/>
          <w:lang w:val="en-US"/>
        </w:rPr>
        <w:t xml:space="preserve">. </w:t>
      </w:r>
      <w:r w:rsidRPr="00622360">
        <w:rPr>
          <w:color w:val="000000"/>
          <w:sz w:val="20"/>
          <w:szCs w:val="20"/>
        </w:rPr>
        <w:t>Рынок ценных бумаг. 2004. № 15 (270). С. 36-39.</w:t>
      </w:r>
      <w:r w:rsidR="009824C9">
        <w:rPr>
          <w:color w:val="000000"/>
          <w:sz w:val="28"/>
          <w:szCs w:val="28"/>
        </w:rPr>
        <w:t xml:space="preserve"> </w:t>
      </w:r>
    </w:p>
  </w:footnote>
  <w:footnote w:id="6">
    <w:p w:rsidR="000E3C65" w:rsidRDefault="00974948" w:rsidP="00622360">
      <w:pPr>
        <w:autoSpaceDE w:val="0"/>
        <w:autoSpaceDN w:val="0"/>
        <w:adjustRightInd w:val="0"/>
        <w:spacing w:line="360" w:lineRule="auto"/>
        <w:jc w:val="both"/>
      </w:pPr>
      <w:r>
        <w:rPr>
          <w:rStyle w:val="a6"/>
        </w:rPr>
        <w:footnoteRef/>
      </w:r>
      <w:r>
        <w:t xml:space="preserve"> </w:t>
      </w:r>
      <w:r w:rsidRPr="00622360">
        <w:rPr>
          <w:color w:val="000000"/>
          <w:sz w:val="20"/>
          <w:szCs w:val="20"/>
        </w:rPr>
        <w:t>Киселев Е., Капитан М., Кокорев Р. Проблемы оценки эффективности работы паевых фондов. Инвестиции плюс. 2002. № 4 (43). С. 15-21.</w:t>
      </w:r>
      <w:r w:rsidR="009824C9">
        <w:rPr>
          <w:color w:val="000000"/>
          <w:sz w:val="28"/>
          <w:szCs w:val="28"/>
        </w:rPr>
        <w:t xml:space="preserve"> </w:t>
      </w:r>
    </w:p>
  </w:footnote>
  <w:footnote w:id="7">
    <w:p w:rsidR="000E3C65" w:rsidRDefault="00974948" w:rsidP="0062236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rStyle w:val="a6"/>
        </w:rPr>
        <w:footnoteRef/>
      </w:r>
      <w:r>
        <w:t xml:space="preserve"> </w:t>
      </w:r>
      <w:r w:rsidRPr="00622360">
        <w:rPr>
          <w:color w:val="000000"/>
          <w:sz w:val="20"/>
          <w:szCs w:val="20"/>
        </w:rPr>
        <w:t xml:space="preserve">Форум по вопросам оценки эффективности управления портфелем ПИФов на сайте Национальной лиги управляющих. – Электронный ресурс. – Режим доступа: </w:t>
      </w:r>
      <w:r w:rsidRPr="004829A1">
        <w:rPr>
          <w:color w:val="000000"/>
          <w:sz w:val="20"/>
          <w:szCs w:val="20"/>
        </w:rPr>
        <w:t>http://www.nlu.ru/forum/read.php?FID=1&amp;TID=1040</w:t>
      </w:r>
    </w:p>
  </w:footnote>
  <w:footnote w:id="8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Правила доверительного управления ЗПИФН «Вольные каменщики» </w:t>
      </w:r>
      <w:r w:rsidRPr="009C710E">
        <w:t>http://www.magistr74.ru/index.php?option=com_content&amp;task=blogsection&amp;id=3&amp;Itemid=7</w:t>
      </w:r>
    </w:p>
  </w:footnote>
  <w:footnote w:id="9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8C5104">
        <w:t>http://www.kommersant.ru/rubric.aspx?nodesid=4</w:t>
      </w:r>
    </w:p>
  </w:footnote>
  <w:footnote w:id="10">
    <w:p w:rsidR="000E3C65" w:rsidRDefault="00974948" w:rsidP="001D0231">
      <w:pPr>
        <w:autoSpaceDE w:val="0"/>
        <w:autoSpaceDN w:val="0"/>
        <w:adjustRightInd w:val="0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6A794B">
        <w:rPr>
          <w:color w:val="000000"/>
          <w:sz w:val="20"/>
          <w:szCs w:val="20"/>
        </w:rPr>
        <w:t xml:space="preserve">Ковалев В.В. Введение в финансовый менеджмент. М., 2001. С. 403. </w:t>
      </w:r>
    </w:p>
  </w:footnote>
  <w:footnote w:id="11">
    <w:p w:rsidR="000E3C65" w:rsidRDefault="00974948" w:rsidP="001D0231">
      <w:pPr>
        <w:pStyle w:val="a4"/>
      </w:pPr>
      <w:r>
        <w:rPr>
          <w:rStyle w:val="a6"/>
        </w:rPr>
        <w:footnoteRef/>
      </w:r>
      <w:r>
        <w:t xml:space="preserve"> </w:t>
      </w:r>
      <w:r w:rsidRPr="006A794B">
        <w:rPr>
          <w:color w:val="000000"/>
        </w:rPr>
        <w:t>Окулов В. Теория финансов и практика инвестирования в российские ПИФы</w:t>
      </w:r>
      <w:r>
        <w:rPr>
          <w:color w:val="000000"/>
        </w:rPr>
        <w:t xml:space="preserve">. </w:t>
      </w:r>
      <w:r w:rsidRPr="006A794B">
        <w:rPr>
          <w:color w:val="000000"/>
        </w:rPr>
        <w:t>http://www.investfunds.ru/analitics/view_comment.php?id=618</w:t>
      </w:r>
    </w:p>
  </w:footnote>
  <w:footnote w:id="12">
    <w:p w:rsidR="000E3C65" w:rsidRDefault="00974948" w:rsidP="001D0231">
      <w:pPr>
        <w:pStyle w:val="a4"/>
      </w:pPr>
      <w:r>
        <w:rPr>
          <w:rStyle w:val="a6"/>
        </w:rPr>
        <w:footnoteRef/>
      </w:r>
      <w:r>
        <w:t xml:space="preserve"> </w:t>
      </w:r>
      <w:r w:rsidRPr="006A794B">
        <w:rPr>
          <w:color w:val="000000"/>
        </w:rPr>
        <w:t>Шарп У., Александер Г., Бэйли Дж. Инвестиции. М., 1997. С. 212</w:t>
      </w:r>
      <w:r>
        <w:rPr>
          <w:color w:val="000000"/>
        </w:rPr>
        <w:t>.</w:t>
      </w:r>
    </w:p>
  </w:footnote>
  <w:footnote w:id="13">
    <w:p w:rsidR="000E3C65" w:rsidRDefault="00974948" w:rsidP="001D0231">
      <w:pPr>
        <w:autoSpaceDE w:val="0"/>
        <w:autoSpaceDN w:val="0"/>
        <w:adjustRightInd w:val="0"/>
        <w:jc w:val="both"/>
      </w:pPr>
      <w:r w:rsidRPr="001D0231">
        <w:rPr>
          <w:rStyle w:val="a6"/>
          <w:sz w:val="20"/>
          <w:szCs w:val="20"/>
        </w:rPr>
        <w:footnoteRef/>
      </w:r>
      <w:r w:rsidRPr="001D0231">
        <w:rPr>
          <w:sz w:val="20"/>
          <w:szCs w:val="20"/>
        </w:rPr>
        <w:t xml:space="preserve"> </w:t>
      </w:r>
      <w:r w:rsidRPr="001D0231">
        <w:rPr>
          <w:color w:val="000000"/>
          <w:sz w:val="20"/>
          <w:szCs w:val="20"/>
        </w:rPr>
        <w:t>Вэриан Х.Р. Портфель нобелевских лауреатов: Марковиц, Миллер, Шарп // Вес</w:t>
      </w:r>
      <w:r w:rsidR="009824C9">
        <w:rPr>
          <w:color w:val="000000"/>
          <w:sz w:val="20"/>
          <w:szCs w:val="20"/>
        </w:rPr>
        <w:t xml:space="preserve">тник СПбГУ. 2003. № 1. С. 157. </w:t>
      </w:r>
    </w:p>
  </w:footnote>
  <w:footnote w:id="14">
    <w:p w:rsidR="000E3C65" w:rsidRDefault="00974948" w:rsidP="001D0231">
      <w:pPr>
        <w:pStyle w:val="a4"/>
      </w:pPr>
      <w:r w:rsidRPr="001D0231">
        <w:rPr>
          <w:rStyle w:val="a6"/>
        </w:rPr>
        <w:footnoteRef/>
      </w:r>
      <w:r w:rsidRPr="001D0231">
        <w:t xml:space="preserve"> </w:t>
      </w:r>
      <w:r w:rsidRPr="001D0231">
        <w:rPr>
          <w:color w:val="000000"/>
        </w:rPr>
        <w:t>Шарп У., Александер Г., Бэйли Дж. Инвестиции. М., 1997. С. 278</w:t>
      </w:r>
    </w:p>
  </w:footnote>
  <w:footnote w:id="15">
    <w:p w:rsidR="000E3C65" w:rsidRDefault="00974948">
      <w:pPr>
        <w:pStyle w:val="a4"/>
      </w:pPr>
      <w:r w:rsidRPr="00FD17CB">
        <w:rPr>
          <w:rStyle w:val="a6"/>
        </w:rPr>
        <w:footnoteRef/>
      </w:r>
      <w:r w:rsidRPr="00FD17CB">
        <w:rPr>
          <w:lang w:val="en-US"/>
        </w:rPr>
        <w:t xml:space="preserve"> </w:t>
      </w:r>
      <w:r w:rsidRPr="00FD17CB">
        <w:rPr>
          <w:color w:val="000000"/>
          <w:lang w:val="en-US"/>
        </w:rPr>
        <w:t xml:space="preserve">Breeden D.T., Gibbons M.R., Litzenberger R.H. Empirical Tests of the Consumption-Oriented CAPM // Journal of Finance. 1989. № 44. </w:t>
      </w:r>
      <w:r w:rsidRPr="00FD17CB">
        <w:rPr>
          <w:color w:val="000000"/>
        </w:rPr>
        <w:t>Р</w:t>
      </w:r>
      <w:r w:rsidRPr="00FD17CB">
        <w:rPr>
          <w:color w:val="000000"/>
          <w:lang w:val="en-US"/>
        </w:rPr>
        <w:t>. 231-262.</w:t>
      </w:r>
    </w:p>
  </w:footnote>
  <w:footnote w:id="16">
    <w:p w:rsidR="000E3C65" w:rsidRDefault="00974948">
      <w:pPr>
        <w:pStyle w:val="a4"/>
      </w:pPr>
      <w:r w:rsidRPr="00FD17CB">
        <w:rPr>
          <w:rStyle w:val="a6"/>
        </w:rPr>
        <w:footnoteRef/>
      </w:r>
      <w:r w:rsidRPr="00FD17CB">
        <w:rPr>
          <w:lang w:val="en-US"/>
        </w:rPr>
        <w:t xml:space="preserve"> </w:t>
      </w:r>
      <w:r w:rsidRPr="00FD17CB">
        <w:rPr>
          <w:color w:val="000000"/>
          <w:lang w:val="en-US"/>
        </w:rPr>
        <w:t xml:space="preserve">Ross S.A. An Arbitrage Theory of Capital Asset Pricing // Journal of Economics Theory. </w:t>
      </w:r>
      <w:r w:rsidRPr="00FD17CB">
        <w:rPr>
          <w:color w:val="000000"/>
        </w:rPr>
        <w:t>1976. № 13. Р. 341-360</w:t>
      </w:r>
    </w:p>
  </w:footnote>
  <w:footnote w:id="17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FD17CB">
        <w:rPr>
          <w:color w:val="000000"/>
        </w:rPr>
        <w:t>Информация представлена на основе источника «Паевые инвестиционные фонды в Российской Федерации», составленного финансовой группой «ИнтерфинТрейд»</w:t>
      </w:r>
    </w:p>
  </w:footnote>
  <w:footnote w:id="18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B81FFC">
        <w:rPr>
          <w:color w:val="000000"/>
        </w:rPr>
        <w:t>Окулов В. Риски паевых инвестиционных фондов // Коллективные инвестиции. 2004. № 5. С.42-43</w:t>
      </w:r>
    </w:p>
  </w:footnote>
  <w:footnote w:id="19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6A794B">
        <w:rPr>
          <w:color w:val="000000"/>
        </w:rPr>
        <w:t>http://www.selekta.org/pinvest.php?page=3#begin</w:t>
      </w:r>
    </w:p>
  </w:footnote>
  <w:footnote w:id="20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</w:rPr>
        <w:t>Форум по вопросам оценки эффективности управления портфелем ПИФов на сайте Национальной лиги управляющих. http://www.nlu.ru/forum/read.php?FID=1&amp;TID=1040</w:t>
      </w:r>
    </w:p>
  </w:footnote>
  <w:footnote w:id="21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432198">
        <w:t>http://pif.investfunds.ru/uk/250</w:t>
      </w:r>
    </w:p>
  </w:footnote>
  <w:footnote w:id="22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</w:rPr>
        <w:t>Коваль Л., Оверченко М, Сафронов Б. Обратная сторона доходности // Ведомости. 17.10.2003</w:t>
      </w:r>
    </w:p>
  </w:footnote>
  <w:footnote w:id="23">
    <w:p w:rsidR="000E3C65" w:rsidRDefault="00974948" w:rsidP="00A3008A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  <w:sz w:val="20"/>
          <w:szCs w:val="20"/>
        </w:rPr>
        <w:t>Лобанов И. Оценка риска паевых фондов, инвестирующих в акции // Инвестиции П</w:t>
      </w:r>
      <w:r w:rsidR="009824C9">
        <w:rPr>
          <w:color w:val="000000"/>
          <w:sz w:val="20"/>
          <w:szCs w:val="20"/>
        </w:rPr>
        <w:t xml:space="preserve">люс. № 4 (25). 2000. С. 15-18. </w:t>
      </w:r>
    </w:p>
  </w:footnote>
  <w:footnote w:id="24">
    <w:p w:rsidR="000E3C65" w:rsidRDefault="00974948" w:rsidP="00A3008A">
      <w:pPr>
        <w:pStyle w:val="a4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</w:rPr>
        <w:t>Шарп У., Александер Г., Бэйли Дж. Инвестиции. М., 1998. С. 763, С. 891.</w:t>
      </w:r>
    </w:p>
  </w:footnote>
  <w:footnote w:id="25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</w:rPr>
        <w:t>Шарп У., Александер Г., Бэйли Дж. Инвестиции. М., 1998. С. 896</w:t>
      </w:r>
    </w:p>
  </w:footnote>
  <w:footnote w:id="26">
    <w:p w:rsidR="000E3C65" w:rsidRDefault="00974948" w:rsidP="00A3008A">
      <w:pPr>
        <w:autoSpaceDE w:val="0"/>
        <w:autoSpaceDN w:val="0"/>
        <w:adjustRightInd w:val="0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  <w:sz w:val="20"/>
          <w:szCs w:val="20"/>
        </w:rPr>
        <w:t>Швагер Дж. Техниче</w:t>
      </w:r>
      <w:r w:rsidR="009824C9">
        <w:rPr>
          <w:color w:val="000000"/>
          <w:sz w:val="20"/>
          <w:szCs w:val="20"/>
        </w:rPr>
        <w:t xml:space="preserve">ский анализ. М., 2001. С. 534. </w:t>
      </w:r>
    </w:p>
  </w:footnote>
  <w:footnote w:id="27">
    <w:p w:rsidR="000E3C65" w:rsidRDefault="00974948">
      <w:pPr>
        <w:pStyle w:val="a4"/>
      </w:pPr>
      <w:r>
        <w:rPr>
          <w:rStyle w:val="a6"/>
        </w:rPr>
        <w:footnoteRef/>
      </w:r>
      <w:r>
        <w:t xml:space="preserve"> </w:t>
      </w:r>
      <w:r w:rsidRPr="00A3008A">
        <w:rPr>
          <w:color w:val="000000"/>
        </w:rPr>
        <w:t>Киселев Е., Капитан М., Кокорев Р. Проблемы оценки эффективности работы паевых фондов. Инвестиции плюс. 2002. № 4 (43). С. 15-21.</w:t>
      </w:r>
    </w:p>
  </w:footnote>
  <w:footnote w:id="28">
    <w:p w:rsidR="000E3C65" w:rsidRDefault="00974948" w:rsidP="009824C9">
      <w:pPr>
        <w:spacing w:after="120"/>
        <w:ind w:left="360"/>
      </w:pPr>
      <w:r>
        <w:rPr>
          <w:rStyle w:val="a6"/>
        </w:rPr>
        <w:footnoteRef/>
      </w:r>
      <w:r>
        <w:t xml:space="preserve"> </w:t>
      </w:r>
      <w:r w:rsidRPr="00BE3119">
        <w:rPr>
          <w:color w:val="555555"/>
          <w:sz w:val="20"/>
          <w:szCs w:val="20"/>
        </w:rPr>
        <w:t>http://primelegal.ru/Minimizaciya_nalogooblozheniya_nedvizhimosti.html</w:t>
      </w:r>
      <w:r w:rsidRPr="00BE3119">
        <w:rPr>
          <w:vanish/>
          <w:color w:val="555555"/>
          <w:sz w:val="20"/>
          <w:szCs w:val="20"/>
        </w:rPr>
        <w:t>ЗПИФ - достаточно известный за рубежом способ управления проектами, он понятен иностранным инвесторам. Общение с такими инвесторами - одна из</w:t>
      </w:r>
      <w:r w:rsidR="009824C9">
        <w:rPr>
          <w:vanish/>
          <w:color w:val="555555"/>
          <w:sz w:val="20"/>
          <w:szCs w:val="20"/>
        </w:rPr>
        <w:t xml:space="preserve"> функций управляющей компании.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948" w:rsidRPr="00A16726" w:rsidRDefault="00974948" w:rsidP="00A16726">
    <w:pPr>
      <w:pStyle w:val="ad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948" w:rsidRPr="00A16726" w:rsidRDefault="00974948" w:rsidP="00A16726">
    <w:pPr>
      <w:pStyle w:val="ad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8F1BB2"/>
    <w:multiLevelType w:val="hybridMultilevel"/>
    <w:tmpl w:val="2D06141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3A4B93"/>
    <w:multiLevelType w:val="multilevel"/>
    <w:tmpl w:val="279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F296F"/>
    <w:multiLevelType w:val="multilevel"/>
    <w:tmpl w:val="7112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56FD5"/>
    <w:multiLevelType w:val="multilevel"/>
    <w:tmpl w:val="2694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310C1"/>
    <w:multiLevelType w:val="multilevel"/>
    <w:tmpl w:val="DB2A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CF46E5"/>
    <w:multiLevelType w:val="multilevel"/>
    <w:tmpl w:val="F93A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01348F"/>
    <w:multiLevelType w:val="multilevel"/>
    <w:tmpl w:val="21A4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41007A"/>
    <w:multiLevelType w:val="multilevel"/>
    <w:tmpl w:val="01D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0B03"/>
    <w:multiLevelType w:val="multilevel"/>
    <w:tmpl w:val="613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27F58"/>
    <w:multiLevelType w:val="multilevel"/>
    <w:tmpl w:val="57B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9F0711"/>
    <w:multiLevelType w:val="multilevel"/>
    <w:tmpl w:val="A88E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5E7F75"/>
    <w:multiLevelType w:val="multilevel"/>
    <w:tmpl w:val="F39A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F1E8FA"/>
    <w:multiLevelType w:val="hybridMultilevel"/>
    <w:tmpl w:val="0A81A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44D57470"/>
    <w:multiLevelType w:val="multilevel"/>
    <w:tmpl w:val="5FB2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7032A8"/>
    <w:multiLevelType w:val="multilevel"/>
    <w:tmpl w:val="36FA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3FB00E4"/>
    <w:multiLevelType w:val="multilevel"/>
    <w:tmpl w:val="B97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7758C4"/>
    <w:multiLevelType w:val="multilevel"/>
    <w:tmpl w:val="3298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40F0"/>
    <w:multiLevelType w:val="multilevel"/>
    <w:tmpl w:val="D2D8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E05DFA"/>
    <w:multiLevelType w:val="multilevel"/>
    <w:tmpl w:val="0FB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6B18C3"/>
    <w:multiLevelType w:val="hybridMultilevel"/>
    <w:tmpl w:val="4AF6313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724B6D13"/>
    <w:multiLevelType w:val="multilevel"/>
    <w:tmpl w:val="A32E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6F4CAA"/>
    <w:multiLevelType w:val="multilevel"/>
    <w:tmpl w:val="B68E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4DA120F"/>
    <w:multiLevelType w:val="multilevel"/>
    <w:tmpl w:val="0A8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C5A7C"/>
    <w:multiLevelType w:val="multilevel"/>
    <w:tmpl w:val="06B2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17"/>
  </w:num>
  <w:num w:numId="5">
    <w:abstractNumId w:val="15"/>
  </w:num>
  <w:num w:numId="6">
    <w:abstractNumId w:val="8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1"/>
  </w:num>
  <w:num w:numId="12">
    <w:abstractNumId w:val="11"/>
  </w:num>
  <w:num w:numId="13">
    <w:abstractNumId w:val="5"/>
  </w:num>
  <w:num w:numId="14">
    <w:abstractNumId w:val="4"/>
  </w:num>
  <w:num w:numId="15">
    <w:abstractNumId w:val="14"/>
  </w:num>
  <w:num w:numId="16">
    <w:abstractNumId w:val="13"/>
  </w:num>
  <w:num w:numId="17">
    <w:abstractNumId w:val="6"/>
  </w:num>
  <w:num w:numId="18">
    <w:abstractNumId w:val="23"/>
  </w:num>
  <w:num w:numId="19">
    <w:abstractNumId w:val="10"/>
  </w:num>
  <w:num w:numId="20">
    <w:abstractNumId w:val="9"/>
  </w:num>
  <w:num w:numId="21">
    <w:abstractNumId w:val="21"/>
  </w:num>
  <w:num w:numId="22">
    <w:abstractNumId w:val="2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091"/>
    <w:rsid w:val="0000025A"/>
    <w:rsid w:val="00056FEE"/>
    <w:rsid w:val="000644D2"/>
    <w:rsid w:val="00081FAD"/>
    <w:rsid w:val="00096106"/>
    <w:rsid w:val="000B48D7"/>
    <w:rsid w:val="000D6F10"/>
    <w:rsid w:val="000E3C65"/>
    <w:rsid w:val="000E6F7B"/>
    <w:rsid w:val="0010744B"/>
    <w:rsid w:val="001257D6"/>
    <w:rsid w:val="00132B5A"/>
    <w:rsid w:val="0015712A"/>
    <w:rsid w:val="00172C1F"/>
    <w:rsid w:val="0017471F"/>
    <w:rsid w:val="001778E7"/>
    <w:rsid w:val="001832E5"/>
    <w:rsid w:val="001B2BD1"/>
    <w:rsid w:val="001C2E8F"/>
    <w:rsid w:val="001C6091"/>
    <w:rsid w:val="001D0231"/>
    <w:rsid w:val="001D4BF6"/>
    <w:rsid w:val="001D6C1E"/>
    <w:rsid w:val="001E0277"/>
    <w:rsid w:val="001E4C1C"/>
    <w:rsid w:val="001F1E8F"/>
    <w:rsid w:val="001F393C"/>
    <w:rsid w:val="001F7F44"/>
    <w:rsid w:val="002144D4"/>
    <w:rsid w:val="00221F46"/>
    <w:rsid w:val="0022269C"/>
    <w:rsid w:val="00257981"/>
    <w:rsid w:val="00265F9B"/>
    <w:rsid w:val="002730C3"/>
    <w:rsid w:val="00275A6E"/>
    <w:rsid w:val="00284353"/>
    <w:rsid w:val="00287A6B"/>
    <w:rsid w:val="0029256B"/>
    <w:rsid w:val="0029323F"/>
    <w:rsid w:val="002E19D9"/>
    <w:rsid w:val="002E6133"/>
    <w:rsid w:val="002E7DF9"/>
    <w:rsid w:val="002F08D4"/>
    <w:rsid w:val="0031249F"/>
    <w:rsid w:val="0031639A"/>
    <w:rsid w:val="003554C1"/>
    <w:rsid w:val="00365BC7"/>
    <w:rsid w:val="00382934"/>
    <w:rsid w:val="003859B2"/>
    <w:rsid w:val="00397E3C"/>
    <w:rsid w:val="003B4503"/>
    <w:rsid w:val="003B54E8"/>
    <w:rsid w:val="003C1D0D"/>
    <w:rsid w:val="003D0557"/>
    <w:rsid w:val="003D1FEB"/>
    <w:rsid w:val="003D425A"/>
    <w:rsid w:val="003F7CE7"/>
    <w:rsid w:val="00432198"/>
    <w:rsid w:val="004544BD"/>
    <w:rsid w:val="0046277B"/>
    <w:rsid w:val="0046420B"/>
    <w:rsid w:val="004679EB"/>
    <w:rsid w:val="004829A1"/>
    <w:rsid w:val="00485D32"/>
    <w:rsid w:val="004928FE"/>
    <w:rsid w:val="00494C11"/>
    <w:rsid w:val="004A4785"/>
    <w:rsid w:val="004A4B34"/>
    <w:rsid w:val="004B4FD1"/>
    <w:rsid w:val="004B7245"/>
    <w:rsid w:val="004E1B0D"/>
    <w:rsid w:val="004F13DA"/>
    <w:rsid w:val="004F461F"/>
    <w:rsid w:val="00501E55"/>
    <w:rsid w:val="005220B5"/>
    <w:rsid w:val="005343A3"/>
    <w:rsid w:val="0054541E"/>
    <w:rsid w:val="00585164"/>
    <w:rsid w:val="0058597A"/>
    <w:rsid w:val="005942F7"/>
    <w:rsid w:val="005C5E17"/>
    <w:rsid w:val="005D0B50"/>
    <w:rsid w:val="005D5261"/>
    <w:rsid w:val="00605F71"/>
    <w:rsid w:val="006067D9"/>
    <w:rsid w:val="00614247"/>
    <w:rsid w:val="00622360"/>
    <w:rsid w:val="00625A2B"/>
    <w:rsid w:val="00626771"/>
    <w:rsid w:val="00631057"/>
    <w:rsid w:val="00632D52"/>
    <w:rsid w:val="0066792F"/>
    <w:rsid w:val="006809C9"/>
    <w:rsid w:val="006851DF"/>
    <w:rsid w:val="00686473"/>
    <w:rsid w:val="00692F9C"/>
    <w:rsid w:val="006A794B"/>
    <w:rsid w:val="006D29B1"/>
    <w:rsid w:val="006D7371"/>
    <w:rsid w:val="006E777F"/>
    <w:rsid w:val="00747E39"/>
    <w:rsid w:val="007606F2"/>
    <w:rsid w:val="00765313"/>
    <w:rsid w:val="00771E50"/>
    <w:rsid w:val="00785CFE"/>
    <w:rsid w:val="007B0D26"/>
    <w:rsid w:val="007B3371"/>
    <w:rsid w:val="007C43A9"/>
    <w:rsid w:val="007F23F6"/>
    <w:rsid w:val="008004D1"/>
    <w:rsid w:val="0081379B"/>
    <w:rsid w:val="0082256C"/>
    <w:rsid w:val="0083024D"/>
    <w:rsid w:val="00853E2A"/>
    <w:rsid w:val="00871738"/>
    <w:rsid w:val="0089117C"/>
    <w:rsid w:val="008A31DC"/>
    <w:rsid w:val="008A413B"/>
    <w:rsid w:val="008B0742"/>
    <w:rsid w:val="008C1F2A"/>
    <w:rsid w:val="008C5104"/>
    <w:rsid w:val="008D423A"/>
    <w:rsid w:val="008F13A3"/>
    <w:rsid w:val="009045AA"/>
    <w:rsid w:val="009121D5"/>
    <w:rsid w:val="009170B0"/>
    <w:rsid w:val="00923047"/>
    <w:rsid w:val="0093213F"/>
    <w:rsid w:val="009462BA"/>
    <w:rsid w:val="009532E2"/>
    <w:rsid w:val="00970A0E"/>
    <w:rsid w:val="00974948"/>
    <w:rsid w:val="009824C9"/>
    <w:rsid w:val="009932A6"/>
    <w:rsid w:val="009A1645"/>
    <w:rsid w:val="009B207B"/>
    <w:rsid w:val="009B4CF9"/>
    <w:rsid w:val="009C2B3D"/>
    <w:rsid w:val="009C6A11"/>
    <w:rsid w:val="009C710E"/>
    <w:rsid w:val="00A01BF5"/>
    <w:rsid w:val="00A0587A"/>
    <w:rsid w:val="00A12CBD"/>
    <w:rsid w:val="00A16726"/>
    <w:rsid w:val="00A2479E"/>
    <w:rsid w:val="00A24D85"/>
    <w:rsid w:val="00A270D9"/>
    <w:rsid w:val="00A275ED"/>
    <w:rsid w:val="00A3008A"/>
    <w:rsid w:val="00A316F2"/>
    <w:rsid w:val="00A379C9"/>
    <w:rsid w:val="00A40615"/>
    <w:rsid w:val="00A41368"/>
    <w:rsid w:val="00A941BD"/>
    <w:rsid w:val="00A97120"/>
    <w:rsid w:val="00AA5E40"/>
    <w:rsid w:val="00AB0CE2"/>
    <w:rsid w:val="00AB7630"/>
    <w:rsid w:val="00AC4F1E"/>
    <w:rsid w:val="00AC60E6"/>
    <w:rsid w:val="00AE010A"/>
    <w:rsid w:val="00AF08DB"/>
    <w:rsid w:val="00B00598"/>
    <w:rsid w:val="00B04F55"/>
    <w:rsid w:val="00B277DB"/>
    <w:rsid w:val="00B54D5B"/>
    <w:rsid w:val="00B81932"/>
    <w:rsid w:val="00B81FFC"/>
    <w:rsid w:val="00B86703"/>
    <w:rsid w:val="00B92750"/>
    <w:rsid w:val="00BB57A2"/>
    <w:rsid w:val="00BC230D"/>
    <w:rsid w:val="00BC5E25"/>
    <w:rsid w:val="00BC70AE"/>
    <w:rsid w:val="00BE3119"/>
    <w:rsid w:val="00BE43E3"/>
    <w:rsid w:val="00BE5225"/>
    <w:rsid w:val="00C10004"/>
    <w:rsid w:val="00C45A3E"/>
    <w:rsid w:val="00C5401A"/>
    <w:rsid w:val="00C7059F"/>
    <w:rsid w:val="00C82752"/>
    <w:rsid w:val="00C86760"/>
    <w:rsid w:val="00C91FF0"/>
    <w:rsid w:val="00CB3964"/>
    <w:rsid w:val="00CC4E80"/>
    <w:rsid w:val="00CE2CDD"/>
    <w:rsid w:val="00CF75B0"/>
    <w:rsid w:val="00CF78EA"/>
    <w:rsid w:val="00D23FD7"/>
    <w:rsid w:val="00D37613"/>
    <w:rsid w:val="00D533D9"/>
    <w:rsid w:val="00D554B1"/>
    <w:rsid w:val="00D71245"/>
    <w:rsid w:val="00D72C69"/>
    <w:rsid w:val="00DA4726"/>
    <w:rsid w:val="00DB1067"/>
    <w:rsid w:val="00DD3869"/>
    <w:rsid w:val="00DD749D"/>
    <w:rsid w:val="00DE5A10"/>
    <w:rsid w:val="00DE794E"/>
    <w:rsid w:val="00E06EED"/>
    <w:rsid w:val="00E10348"/>
    <w:rsid w:val="00E26370"/>
    <w:rsid w:val="00E45AE3"/>
    <w:rsid w:val="00E51097"/>
    <w:rsid w:val="00E61335"/>
    <w:rsid w:val="00E65002"/>
    <w:rsid w:val="00E9288E"/>
    <w:rsid w:val="00EB563F"/>
    <w:rsid w:val="00EC757B"/>
    <w:rsid w:val="00ED44AD"/>
    <w:rsid w:val="00EE662A"/>
    <w:rsid w:val="00F13FA5"/>
    <w:rsid w:val="00F25928"/>
    <w:rsid w:val="00F338D7"/>
    <w:rsid w:val="00F41518"/>
    <w:rsid w:val="00F47086"/>
    <w:rsid w:val="00F50DD6"/>
    <w:rsid w:val="00F56583"/>
    <w:rsid w:val="00F7296D"/>
    <w:rsid w:val="00FB1303"/>
    <w:rsid w:val="00FD17CB"/>
    <w:rsid w:val="00FD1885"/>
    <w:rsid w:val="00FD694C"/>
    <w:rsid w:val="00FE35A5"/>
    <w:rsid w:val="00FE46B4"/>
    <w:rsid w:val="00FE48FC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D7AD1EA0-110F-4040-AD58-D6A2DA6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9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38D7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1C60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uiPriority w:val="99"/>
    <w:rsid w:val="00CF75B0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CF75B0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character" w:styleId="a6">
    <w:name w:val="footnote reference"/>
    <w:uiPriority w:val="99"/>
    <w:semiHidden/>
    <w:rsid w:val="00CF75B0"/>
    <w:rPr>
      <w:rFonts w:cs="Times New Roman"/>
      <w:vertAlign w:val="superscript"/>
    </w:rPr>
  </w:style>
  <w:style w:type="paragraph" w:styleId="a7">
    <w:name w:val="Normal (Web)"/>
    <w:basedOn w:val="a"/>
    <w:uiPriority w:val="99"/>
    <w:rsid w:val="00C8275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6"/>
      <w:szCs w:val="16"/>
    </w:rPr>
  </w:style>
  <w:style w:type="character" w:styleId="a8">
    <w:name w:val="Strong"/>
    <w:uiPriority w:val="22"/>
    <w:qFormat/>
    <w:rsid w:val="00F338D7"/>
    <w:rPr>
      <w:rFonts w:cs="Times New Roman"/>
      <w:b/>
      <w:bCs/>
    </w:rPr>
  </w:style>
  <w:style w:type="table" w:styleId="a9">
    <w:name w:val="Table Grid"/>
    <w:basedOn w:val="a1"/>
    <w:uiPriority w:val="59"/>
    <w:rsid w:val="00E06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DD74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DD749D"/>
    <w:rPr>
      <w:rFonts w:cs="Times New Roman"/>
    </w:rPr>
  </w:style>
  <w:style w:type="paragraph" w:styleId="ad">
    <w:name w:val="header"/>
    <w:basedOn w:val="a"/>
    <w:link w:val="ae"/>
    <w:uiPriority w:val="99"/>
    <w:rsid w:val="00DD74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ConsNonformat">
    <w:name w:val="ConsNonformat"/>
    <w:rsid w:val="009A1645"/>
    <w:pPr>
      <w:widowControl w:val="0"/>
    </w:pPr>
    <w:rPr>
      <w:rFonts w:ascii="Courier New" w:hAnsi="Courier New" w:cs="Courier New"/>
    </w:rPr>
  </w:style>
  <w:style w:type="character" w:styleId="HTML">
    <w:name w:val="HTML Acronym"/>
    <w:uiPriority w:val="99"/>
    <w:rsid w:val="009462BA"/>
    <w:rPr>
      <w:rFonts w:cs="Times New Roman"/>
    </w:rPr>
  </w:style>
  <w:style w:type="paragraph" w:styleId="2">
    <w:name w:val="Body Text Indent 2"/>
    <w:basedOn w:val="a"/>
    <w:link w:val="20"/>
    <w:uiPriority w:val="99"/>
    <w:rsid w:val="008A31DC"/>
    <w:pPr>
      <w:shd w:val="clear" w:color="auto" w:fill="FFFFFF"/>
      <w:autoSpaceDE w:val="0"/>
      <w:autoSpaceDN w:val="0"/>
      <w:adjustRightInd w:val="0"/>
      <w:ind w:firstLine="720"/>
    </w:pPr>
    <w:rPr>
      <w:color w:val="000000"/>
      <w:sz w:val="28"/>
      <w:szCs w:val="8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75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32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03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05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06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17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25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30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38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40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42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51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271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60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26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15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50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23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27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16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29">
                  <w:marLeft w:val="3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53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w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investpark.ru/?m=def&amp;an=correlation_quotient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investpark.ru/?m=def&amp;an=market_inde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2.wmf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14494</Words>
  <Characters>82621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Home</Company>
  <LinksUpToDate>false</LinksUpToDate>
  <CharactersWithSpaces>96922</CharactersWithSpaces>
  <SharedDoc>false</SharedDoc>
  <HLinks>
    <vt:vector size="12" baseType="variant">
      <vt:variant>
        <vt:i4>3801114</vt:i4>
      </vt:variant>
      <vt:variant>
        <vt:i4>39</vt:i4>
      </vt:variant>
      <vt:variant>
        <vt:i4>0</vt:i4>
      </vt:variant>
      <vt:variant>
        <vt:i4>5</vt:i4>
      </vt:variant>
      <vt:variant>
        <vt:lpwstr>http://www.investpark.ru/?m=def&amp;an=correlation_quotient</vt:lpwstr>
      </vt:variant>
      <vt:variant>
        <vt:lpwstr/>
      </vt:variant>
      <vt:variant>
        <vt:i4>2031672</vt:i4>
      </vt:variant>
      <vt:variant>
        <vt:i4>36</vt:i4>
      </vt:variant>
      <vt:variant>
        <vt:i4>0</vt:i4>
      </vt:variant>
      <vt:variant>
        <vt:i4>5</vt:i4>
      </vt:variant>
      <vt:variant>
        <vt:lpwstr>http://www.investpark.ru/?m=def&amp;an=market_index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User</dc:creator>
  <cp:keywords/>
  <dc:description/>
  <cp:lastModifiedBy>admin</cp:lastModifiedBy>
  <cp:revision>2</cp:revision>
  <cp:lastPrinted>2009-04-06T23:01:00Z</cp:lastPrinted>
  <dcterms:created xsi:type="dcterms:W3CDTF">2014-03-26T09:39:00Z</dcterms:created>
  <dcterms:modified xsi:type="dcterms:W3CDTF">2014-03-26T09:39:00Z</dcterms:modified>
</cp:coreProperties>
</file>