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971" w:rsidRDefault="005D4971" w:rsidP="001355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color w:val="000000"/>
          <w:sz w:val="20"/>
          <w:szCs w:val="20"/>
          <w:lang w:eastAsia="ru-RU"/>
        </w:rPr>
      </w:pPr>
    </w:p>
    <w:p w:rsidR="005F02E0" w:rsidRPr="0013551F" w:rsidRDefault="005F02E0" w:rsidP="001355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color w:val="000000"/>
          <w:sz w:val="20"/>
          <w:szCs w:val="20"/>
          <w:lang w:eastAsia="ru-RU"/>
        </w:rPr>
      </w:pP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t>Понятие механизма административно-правового регулирования и его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элементов</w:t>
      </w:r>
    </w:p>
    <w:p w:rsidR="005F02E0" w:rsidRPr="0013551F" w:rsidRDefault="005F02E0" w:rsidP="001355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color w:val="000000"/>
          <w:sz w:val="20"/>
          <w:szCs w:val="20"/>
          <w:lang w:eastAsia="ru-RU"/>
        </w:rPr>
      </w:pPr>
    </w:p>
    <w:p w:rsidR="005F02E0" w:rsidRPr="0013551F" w:rsidRDefault="005F02E0" w:rsidP="001355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color w:val="000000"/>
          <w:sz w:val="20"/>
          <w:szCs w:val="20"/>
          <w:lang w:eastAsia="ru-RU"/>
        </w:rPr>
      </w:pP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t>Административное право – отрасль права, которая регулирует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общественные отношения, возникающие в процессе организации и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исполнительно-распорядительной деятельности органов государственного управления.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Административное право представляет совокупность юридических норм (норм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 xml:space="preserve">административного права).  </w:t>
      </w:r>
    </w:p>
    <w:p w:rsidR="005F02E0" w:rsidRPr="0013551F" w:rsidRDefault="005F02E0" w:rsidP="001355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color w:val="000000"/>
          <w:sz w:val="20"/>
          <w:szCs w:val="20"/>
          <w:lang w:eastAsia="ru-RU"/>
        </w:rPr>
      </w:pP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t>Административное право России имеет  свой механизм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административно-правового регулирования, под которым понимается система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административно-правовых средств, которые воздействуют на общественные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отношения, организуя их в соответствии с задачами государства и общества. В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 xml:space="preserve">структуру этого механизма  входят следующие элементы: </w:t>
      </w:r>
    </w:p>
    <w:p w:rsidR="005F02E0" w:rsidRPr="0013551F" w:rsidRDefault="005F02E0" w:rsidP="001355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color w:val="000000"/>
          <w:sz w:val="20"/>
          <w:szCs w:val="20"/>
          <w:lang w:eastAsia="ru-RU"/>
        </w:rPr>
      </w:pP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t>1) нормы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административного права и его принципы, объективированные в законах, указах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Президента России и других нормативных актах;</w:t>
      </w:r>
    </w:p>
    <w:p w:rsidR="005F02E0" w:rsidRPr="0013551F" w:rsidRDefault="005F02E0" w:rsidP="001355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color w:val="000000"/>
          <w:sz w:val="20"/>
          <w:szCs w:val="20"/>
          <w:lang w:eastAsia="ru-RU"/>
        </w:rPr>
      </w:pP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t>2) акты толкования норм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административного права, издаваемые уполномоченными на то органами;</w:t>
      </w:r>
    </w:p>
    <w:p w:rsidR="005F02E0" w:rsidRPr="0013551F" w:rsidRDefault="005F02E0" w:rsidP="001355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color w:val="000000"/>
          <w:sz w:val="20"/>
          <w:szCs w:val="20"/>
          <w:lang w:eastAsia="ru-RU"/>
        </w:rPr>
      </w:pP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t>3) акты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применения норм административного права, издаваемые должностными лицами органов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исполнительной власти при реализации властных полномочий (в том числе и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индивидуальные акты);</w:t>
      </w:r>
    </w:p>
    <w:p w:rsidR="005F02E0" w:rsidRPr="0013551F" w:rsidRDefault="005F02E0" w:rsidP="001355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color w:val="000000"/>
          <w:sz w:val="20"/>
          <w:szCs w:val="20"/>
          <w:lang w:eastAsia="ru-RU"/>
        </w:rPr>
      </w:pP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t>4) административно-правовые отношения.</w:t>
      </w:r>
    </w:p>
    <w:p w:rsidR="005F02E0" w:rsidRPr="0013551F" w:rsidRDefault="005F02E0" w:rsidP="001355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color w:val="000000"/>
          <w:sz w:val="20"/>
          <w:szCs w:val="20"/>
          <w:lang w:eastAsia="ru-RU"/>
        </w:rPr>
      </w:pP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t>Основным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источником законодательства об административной ответственности является Кодекс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об административных правонарушениях (КоАП РФ) Российской Федерации и законы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субъектов РФ, принятых в соответствии с Кодексом. Но необходимо понимать, что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многообразие сторон общественных правоотношений, которые регулируются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административным правом, обуславливает тот факт, что сами нормы права, за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нарушение которых устанавливается административная ответственность, могут быть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установлены в иных законах (Водный кодекс, Трудовой кодекс, Таможенный кодекс,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Налоговый кодекс и т.д.) и не включаться в КоАП. В КоАП лишь определяются меры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административной ответственности за нарушение данных норм права.</w:t>
      </w:r>
    </w:p>
    <w:p w:rsidR="005F02E0" w:rsidRPr="0013551F" w:rsidRDefault="005F02E0" w:rsidP="001355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color w:val="000000"/>
          <w:sz w:val="20"/>
          <w:szCs w:val="20"/>
          <w:lang w:eastAsia="ru-RU"/>
        </w:rPr>
      </w:pP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t>Например, в п.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4 статьи 13.12 КоАП РФ устанавливается административная ответственность за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использование несертифицированных средств, предназначенных для защиты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информации, составляющей государственную тайну. Сама же система сертификации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защиты информации по требованиям безопасности для сведений (нормы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административного права), составляющих государственную тайну, определяется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Приказом ФСБ РФ от 13.11.1999 № 564.</w:t>
      </w:r>
    </w:p>
    <w:p w:rsidR="005F02E0" w:rsidRPr="0013551F" w:rsidRDefault="005F02E0" w:rsidP="001355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color w:val="000000"/>
          <w:sz w:val="20"/>
          <w:szCs w:val="20"/>
          <w:lang w:eastAsia="ru-RU"/>
        </w:rPr>
      </w:pP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t>В соответствии с Конституцией РФ,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административное право находится в совместном ведении Российской Федерации и её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субъектов, поэтому многие нормы административного права устанавливаются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законодательством субъектов РФ.</w:t>
      </w:r>
    </w:p>
    <w:p w:rsidR="005F02E0" w:rsidRPr="0013551F" w:rsidRDefault="005F02E0" w:rsidP="001355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color w:val="000000"/>
          <w:sz w:val="20"/>
          <w:szCs w:val="20"/>
          <w:lang w:eastAsia="ru-RU"/>
        </w:rPr>
      </w:pP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t>Немаловажную роль в механизме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административно-правового регулирования играют нормативные акты второго уровня,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которые разъясняют нормы административного права. К таковым актам относятся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ведомственные письма, инструкции, рекомендации и т.д.</w:t>
      </w:r>
    </w:p>
    <w:p w:rsidR="005F02E0" w:rsidRPr="0013551F" w:rsidRDefault="005F02E0" w:rsidP="001355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color w:val="000000"/>
          <w:sz w:val="20"/>
          <w:szCs w:val="20"/>
          <w:lang w:eastAsia="ru-RU"/>
        </w:rPr>
      </w:pP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t>Акты третьего уровня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издаются должностными лицами органов исполнительной власти при реализации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властных полномочий. Это может быть постановление на проведение проверки,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предписание о необходимости устранить условия, способствующие совершению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 xml:space="preserve">правонарушения и другие акты. </w:t>
      </w:r>
    </w:p>
    <w:p w:rsidR="005F02E0" w:rsidRPr="0013551F" w:rsidRDefault="005F02E0" w:rsidP="001355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color w:val="000000"/>
          <w:sz w:val="20"/>
          <w:szCs w:val="20"/>
          <w:lang w:eastAsia="ru-RU"/>
        </w:rPr>
      </w:pP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t>Важнейшими средствами механизма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административно-правового регулирования являются нормативные и индивидуальные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акты. Эти акты соответствуют двум уровням административно-правового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регулирования. Первый уровень составляют общие правила поведения людей, а второй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уровень образуют индивидуальные акты, определяющие на основе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административно-правовой нормы права и обязанности конкретных участников в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правоотношении. Акт применения нормы административного права включается в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механизм административно-правового регулирования как средство индивидуальных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прав, обязанностей и мер юридической ответственности.</w:t>
      </w:r>
    </w:p>
    <w:p w:rsidR="005F02E0" w:rsidRPr="0013551F" w:rsidRDefault="005F02E0" w:rsidP="001355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color w:val="000000"/>
          <w:sz w:val="20"/>
          <w:szCs w:val="20"/>
          <w:lang w:eastAsia="ru-RU"/>
        </w:rPr>
      </w:pP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t>Каждый элемент механизма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административно-правового регулирования выполняет специфическую роль в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регулировании поведения людей и возникающих на его основе общественных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отношений. Следовательно, эти элементы механизма одновременно выступают в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качестве юридических средств административно-правового регулирования. При этом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административно-правовые средства включаются в процесс регулирования в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определенной последовательности. Таким образом, административно-правовое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регулирование представляет собой процесс последовательного использования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административно-правовых средств для достижения целей регулирования поведения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участников общественных отношений.</w:t>
      </w:r>
    </w:p>
    <w:p w:rsidR="005F02E0" w:rsidRPr="0013551F" w:rsidRDefault="005F02E0" w:rsidP="001355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color w:val="000000"/>
          <w:sz w:val="20"/>
          <w:szCs w:val="20"/>
          <w:lang w:eastAsia="ru-RU"/>
        </w:rPr>
      </w:pP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t>В административно-правовом отношении как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элементе правового регулирования индивидуализируются положения той или иной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нормы административного права, определяются характер, права и обязанности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участников отношения. Административно-правовые отношения возникают между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органами государственного управления, с одной стороны, и соответствующими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органами государства, общественными организациями и гражданами - с другой, в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процессе применения норм административного права. Для этих отношений характерно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 xml:space="preserve">следующее: </w:t>
      </w:r>
    </w:p>
    <w:p w:rsidR="005F02E0" w:rsidRPr="0013551F" w:rsidRDefault="005F02E0" w:rsidP="001355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color w:val="000000"/>
          <w:sz w:val="20"/>
          <w:szCs w:val="20"/>
          <w:lang w:eastAsia="ru-RU"/>
        </w:rPr>
      </w:pP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t>1) одной из сторон в них всегда выступает государственный орган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(орган управления) или его должностное лицо, наделённые определёнными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государственными властными полномочиями и действующие от имени государства;</w:t>
      </w:r>
    </w:p>
    <w:p w:rsidR="005F02E0" w:rsidRPr="0013551F" w:rsidRDefault="005F02E0" w:rsidP="001355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color w:val="000000"/>
          <w:sz w:val="20"/>
          <w:szCs w:val="20"/>
          <w:lang w:eastAsia="ru-RU"/>
        </w:rPr>
      </w:pP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t>2)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 xml:space="preserve">отношение может возникнуть помимо воли другой стороны; </w:t>
      </w:r>
    </w:p>
    <w:p w:rsidR="005F02E0" w:rsidRPr="0013551F" w:rsidRDefault="005F02E0" w:rsidP="001355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color w:val="000000"/>
          <w:sz w:val="20"/>
          <w:szCs w:val="20"/>
          <w:lang w:eastAsia="ru-RU"/>
        </w:rPr>
      </w:pP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t>3) как правило, споры,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возникающие по этим отношениям, разрешаются в административном порядке, то есть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вышестоящим органом управления или специально созданным для этой цели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государственным органом.</w:t>
      </w:r>
    </w:p>
    <w:p w:rsidR="005F02E0" w:rsidRPr="0013551F" w:rsidRDefault="005F02E0" w:rsidP="001355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color w:val="000000"/>
          <w:sz w:val="20"/>
          <w:szCs w:val="20"/>
          <w:lang w:eastAsia="ru-RU"/>
        </w:rPr>
      </w:pP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t>В качестве примера использование механизма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административно-правового регулирования и его средств пограничными органами ФСБ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России можно привести следующее.</w:t>
      </w:r>
    </w:p>
    <w:p w:rsidR="005F02E0" w:rsidRPr="0013551F" w:rsidRDefault="005F02E0" w:rsidP="001355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color w:val="000000"/>
          <w:sz w:val="20"/>
          <w:szCs w:val="20"/>
          <w:lang w:eastAsia="ru-RU"/>
        </w:rPr>
      </w:pP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t>В статье 18.2 КоАП РФ устанавливается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административная ответственность за нарушение правил въезда (прохода) в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пограничную зону, временного пребывания, передвижения лиц и (или) транспортных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средств в пограничной зоне. Сами правила пограничного режима утверждены Приказом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Федеральной службы безопасности Российской Федерации от 28 сентября 2006 г. №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452. Так, данный приказ устанавливает административно-правовую норму (п. 1.1),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согласно которой въезд (проход) граждан Российской Федерации, иностранных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граждан, подданных иностранных государств, лиц без гражданства и транспортных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средств в пограничную зону осуществляется в установленных местах въезда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(прохода):</w:t>
      </w:r>
    </w:p>
    <w:p w:rsidR="005F02E0" w:rsidRPr="0013551F" w:rsidRDefault="005F02E0" w:rsidP="001355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color w:val="000000"/>
          <w:sz w:val="20"/>
          <w:szCs w:val="20"/>
          <w:lang w:eastAsia="ru-RU"/>
        </w:rPr>
      </w:pP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t>1) по документам, удостоверяющим личность;</w:t>
      </w:r>
    </w:p>
    <w:p w:rsidR="005F02E0" w:rsidRPr="0013551F" w:rsidRDefault="005F02E0" w:rsidP="001355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color w:val="000000"/>
          <w:sz w:val="20"/>
          <w:szCs w:val="20"/>
          <w:lang w:eastAsia="ru-RU"/>
        </w:rPr>
      </w:pP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t>2) по индивидуальным или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коллективным пропускам, выдаваемым пограничными управлениями ФСБ России по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субъектам Российской Федерации (по направлениям), при наличии документов,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удостоверяющих личность.</w:t>
      </w:r>
    </w:p>
    <w:p w:rsidR="005F02E0" w:rsidRPr="0013551F" w:rsidRDefault="005F02E0" w:rsidP="001355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color w:val="000000"/>
          <w:sz w:val="20"/>
          <w:szCs w:val="20"/>
          <w:lang w:eastAsia="ru-RU"/>
        </w:rPr>
      </w:pP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t>Далее даются разъяснения, кто имеет право проезда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(прохода) по документам, удостоверяющим личность, а кто по пропускам. Например,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въезд (проход) в пограничную зону по документам, удостоверяющим личность,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осуществляют должностные лица местного самоуправления муниципальных образований,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на территории которых установлена пограничная зона. В этих же правилах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разъясняется порядок получения индивидуальных и коллективных пропусков.</w:t>
      </w:r>
    </w:p>
    <w:p w:rsidR="005F02E0" w:rsidRPr="0013551F" w:rsidRDefault="005F02E0" w:rsidP="001355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color w:val="000000"/>
          <w:sz w:val="20"/>
          <w:szCs w:val="20"/>
          <w:lang w:eastAsia="ru-RU"/>
        </w:rPr>
      </w:pP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t>Правила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также устанавливают, что индивидуальные и коллективные пропуска выдаются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пограничными управлениями ФСБ России по субъектам Федерации, в свою очередь,</w:t>
      </w:r>
      <w:r w:rsidRPr="0013551F">
        <w:rPr>
          <w:rFonts w:ascii="Verdana" w:hAnsi="Verdana" w:cs="Courier New"/>
          <w:color w:val="000000"/>
          <w:sz w:val="20"/>
          <w:szCs w:val="20"/>
          <w:lang w:eastAsia="ru-RU"/>
        </w:rPr>
        <w:br/>
        <w:t>сами пропуска являются актами применения норм административного права.</w:t>
      </w:r>
    </w:p>
    <w:p w:rsidR="005F02E0" w:rsidRDefault="005F02E0">
      <w:bookmarkStart w:id="0" w:name="_GoBack"/>
      <w:bookmarkEnd w:id="0"/>
    </w:p>
    <w:sectPr w:rsidR="005F02E0" w:rsidSect="00106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551F"/>
    <w:rsid w:val="000C6BB1"/>
    <w:rsid w:val="00106CF4"/>
    <w:rsid w:val="0013551F"/>
    <w:rsid w:val="00361117"/>
    <w:rsid w:val="00452FCF"/>
    <w:rsid w:val="005460F9"/>
    <w:rsid w:val="005D4971"/>
    <w:rsid w:val="005F02E0"/>
    <w:rsid w:val="006F5A08"/>
    <w:rsid w:val="0089251C"/>
    <w:rsid w:val="00D4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6BA46-963E-4ACD-82AB-447E8305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CF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rsid w:val="00135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locked/>
    <w:rsid w:val="0013551F"/>
    <w:rPr>
      <w:rFonts w:ascii="Courier New" w:hAnsi="Courier New" w:cs="Courier New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Понятие механизма административно-правового регулирования и его</vt:lpstr>
    </vt:vector>
  </TitlesOfParts>
  <Company>TOSHIBA</Company>
  <LinksUpToDate>false</LinksUpToDate>
  <CharactersWithSpaces>6910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Понятие механизма административно-правового регулирования и его</dc:title>
  <dc:subject/>
  <dc:creator>Лиза</dc:creator>
  <cp:keywords/>
  <dc:description/>
  <cp:lastModifiedBy>admin</cp:lastModifiedBy>
  <cp:revision>2</cp:revision>
  <dcterms:created xsi:type="dcterms:W3CDTF">2014-04-23T17:34:00Z</dcterms:created>
  <dcterms:modified xsi:type="dcterms:W3CDTF">2014-04-23T17:34:00Z</dcterms:modified>
</cp:coreProperties>
</file>