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1B" w:rsidRDefault="002A7667" w:rsidP="003F5238">
      <w:pPr>
        <w:spacing w:line="360" w:lineRule="auto"/>
        <w:jc w:val="center"/>
        <w:rPr>
          <w:b/>
        </w:rPr>
      </w:pPr>
      <w:r w:rsidRPr="002A7667">
        <w:rPr>
          <w:b/>
        </w:rPr>
        <w:t>Финансирование отрасли образования на современном этапе</w:t>
      </w:r>
    </w:p>
    <w:p w:rsidR="00867979" w:rsidRPr="00867979" w:rsidRDefault="00867979" w:rsidP="00867979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szCs w:val="28"/>
        </w:rPr>
      </w:pPr>
      <w:r w:rsidRPr="00867979">
        <w:rPr>
          <w:rFonts w:cs="TimesNewRomanPSMT"/>
          <w:szCs w:val="28"/>
        </w:rPr>
        <w:t xml:space="preserve">Место и роль страны в мировой экономике во многом характеризуются качеством образования. Реализация и развитие интеллектуального потенциала нации являются одними из главных составляющих устойчивого и динамичного развития современного общества. Качество же образования непосредственно зависит от объемов его финансирования. </w:t>
      </w:r>
    </w:p>
    <w:p w:rsidR="003F5238" w:rsidRPr="00867979" w:rsidRDefault="003F5238" w:rsidP="003F5238">
      <w:pPr>
        <w:spacing w:line="360" w:lineRule="auto"/>
        <w:ind w:firstLine="709"/>
      </w:pPr>
      <w:r w:rsidRPr="00867979">
        <w:t xml:space="preserve">Современное </w:t>
      </w:r>
      <w:r w:rsidR="00867979" w:rsidRPr="00867979">
        <w:t xml:space="preserve">же </w:t>
      </w:r>
      <w:r w:rsidRPr="00867979">
        <w:t>состояние образования обычно характеризуется в первую очередь с позиций недостаточности бюджетных средств, выделяемых государством для обеспечения функционирования данной сферы деятельности. В данных условиях все остальные проблемы</w:t>
      </w:r>
      <w:r w:rsidR="00C32C6F">
        <w:t xml:space="preserve"> отодвигаются на второй.</w:t>
      </w:r>
    </w:p>
    <w:p w:rsidR="00A82B1A" w:rsidRPr="00A82B1A" w:rsidRDefault="00A82B1A" w:rsidP="00A82B1A">
      <w:pPr>
        <w:spacing w:line="360" w:lineRule="auto"/>
        <w:ind w:firstLine="709"/>
      </w:pPr>
      <w:r w:rsidRPr="00A82B1A">
        <w:t>Повышение качества и конкурентоспособности образовательных услуг возможно при наличии и эффективном использовании всех видов ресурсов и прежде всего финансовых ресурсов. В условиях действия рыночных отношений в экономике успешное развитие системы образования обеспечивается лишь при многоканальном, многоисточниковом финансировании.</w:t>
      </w:r>
    </w:p>
    <w:p w:rsidR="00867979" w:rsidRPr="00867979" w:rsidRDefault="00867979" w:rsidP="00867979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color w:val="FF0000"/>
          <w:szCs w:val="28"/>
        </w:rPr>
      </w:pPr>
      <w:r w:rsidRPr="00032EAC">
        <w:rPr>
          <w:rFonts w:cs="TimesNewRomanPSMT"/>
          <w:szCs w:val="28"/>
        </w:rPr>
        <w:t>Существуют два основных способа финансирования. Это бюджетные и</w:t>
      </w:r>
      <w:r>
        <w:rPr>
          <w:rFonts w:cs="TimesNewRomanPSMT"/>
          <w:szCs w:val="28"/>
        </w:rPr>
        <w:t xml:space="preserve"> </w:t>
      </w:r>
      <w:r w:rsidRPr="00032EAC">
        <w:rPr>
          <w:rFonts w:cs="TimesNewRomanPSMT"/>
          <w:szCs w:val="28"/>
        </w:rPr>
        <w:t>внебюджетные источники. Самыми весомыми являются, конечно же</w:t>
      </w:r>
      <w:r>
        <w:rPr>
          <w:rFonts w:cs="TimesNewRomanPSMT"/>
          <w:szCs w:val="28"/>
        </w:rPr>
        <w:t xml:space="preserve">, </w:t>
      </w:r>
      <w:r w:rsidRPr="00032EAC">
        <w:rPr>
          <w:rFonts w:cs="TimesNewRomanPSMT"/>
          <w:szCs w:val="28"/>
        </w:rPr>
        <w:t xml:space="preserve">бюджетные средства. </w:t>
      </w:r>
    </w:p>
    <w:p w:rsidR="00A82B1A" w:rsidRPr="00A82B1A" w:rsidRDefault="00A82B1A" w:rsidP="00A82B1A">
      <w:pPr>
        <w:spacing w:line="360" w:lineRule="auto"/>
        <w:ind w:firstLine="709"/>
      </w:pPr>
      <w:r w:rsidRPr="00A82B1A">
        <w:t>Мобилизуя средства на развитие образования из различных источников, надо помнить, что гарантированным продолжает оставаться основной источник - стабильное государственное финансирование.</w:t>
      </w:r>
    </w:p>
    <w:p w:rsidR="00A82B1A" w:rsidRPr="00A82B1A" w:rsidRDefault="00A82B1A" w:rsidP="00A82B1A">
      <w:pPr>
        <w:spacing w:line="360" w:lineRule="auto"/>
        <w:ind w:firstLine="709"/>
      </w:pPr>
      <w:r w:rsidRPr="00A82B1A">
        <w:t>В действующем законодательстве область образования провозглашена приоритетной. В соответствии с этим законодательно определен порядок государственного финансирования образования.</w:t>
      </w:r>
    </w:p>
    <w:p w:rsidR="00A82B1A" w:rsidRPr="00A82B1A" w:rsidRDefault="00A82B1A" w:rsidP="00A82B1A">
      <w:pPr>
        <w:spacing w:line="360" w:lineRule="auto"/>
        <w:ind w:firstLine="709"/>
      </w:pPr>
      <w:r w:rsidRPr="00A82B1A">
        <w:t>Правительство РФ утвердило положения о федеральных органах управления образованием, в которых определило их функции в части финансирования.</w:t>
      </w:r>
    </w:p>
    <w:p w:rsidR="007127DD" w:rsidRPr="00A82B1A" w:rsidRDefault="007127DD" w:rsidP="007127DD">
      <w:pPr>
        <w:spacing w:line="360" w:lineRule="auto"/>
        <w:ind w:firstLine="709"/>
      </w:pPr>
      <w:r>
        <w:t>Так, в</w:t>
      </w:r>
      <w:r w:rsidRPr="00A82B1A">
        <w:t xml:space="preserve"> Положении о Министерстве образования и науки РФ (утверждено поста</w:t>
      </w:r>
      <w:r>
        <w:t>новлением Правительства РФ от 28.08</w:t>
      </w:r>
      <w:r w:rsidRPr="00A82B1A">
        <w:t>.0</w:t>
      </w:r>
      <w:r>
        <w:t>9</w:t>
      </w:r>
      <w:r w:rsidRPr="00A82B1A">
        <w:t xml:space="preserve"> №280) указано, что: министерство осуществляет функции главного распорядителя и получателя средств федерального бюджета, предусмотренных на содержание министерства, и возложенных на министерство функций; министр вносит в Минфин России предложения по формированию федерального бюджета и финансированию подведомственных министерству федеральных служб и федеральных агентств.</w:t>
      </w:r>
    </w:p>
    <w:p w:rsidR="00A82B1A" w:rsidRDefault="007127DD" w:rsidP="00A82B1A">
      <w:pPr>
        <w:spacing w:line="360" w:lineRule="auto"/>
        <w:ind w:firstLine="709"/>
      </w:pPr>
      <w:r>
        <w:t>В</w:t>
      </w:r>
      <w:r w:rsidR="00A82B1A" w:rsidRPr="00A82B1A">
        <w:t xml:space="preserve"> Положении о Федеральном агентстве по образованию (утверждено постановлением Правительства РФ от 17.06.04 №288) установлено, что агентство осуществляет функции главного распорядителя и получателя средств федерального бюджета, предусмотренных на содержание агентства и реализацию возложенных на него функций.</w:t>
      </w:r>
    </w:p>
    <w:p w:rsidR="007127DD" w:rsidRDefault="007127DD" w:rsidP="00A82B1A">
      <w:pPr>
        <w:spacing w:line="360" w:lineRule="auto"/>
        <w:ind w:firstLine="709"/>
      </w:pPr>
      <w:r>
        <w:t>Данное агентство у</w:t>
      </w:r>
      <w:r w:rsidRPr="007127DD">
        <w:t>празднено 10 марта 2010 года с передачей функций Министерству образования и науки РФ</w:t>
      </w:r>
      <w:r>
        <w:t>.</w:t>
      </w:r>
    </w:p>
    <w:p w:rsidR="007127DD" w:rsidRDefault="007127DD" w:rsidP="00A82B1A">
      <w:pPr>
        <w:spacing w:line="360" w:lineRule="auto"/>
        <w:ind w:firstLine="709"/>
      </w:pPr>
      <w:r>
        <w:t xml:space="preserve">И последнее, </w:t>
      </w:r>
      <w:r w:rsidRPr="007127DD">
        <w:t>Федеральная служба по надзору в сфере образования и науки</w:t>
      </w:r>
      <w:r>
        <w:t xml:space="preserve">. </w:t>
      </w:r>
      <w:r w:rsidRPr="007127DD">
        <w:t>Осуществляет функции по контролю и надзору в области образования и науки, в частности лицензирование, аттестацию и аккредитацию образовательных учреждений; аттестацию научных и педагогических работников вузов; аттестацию выпускников образовательных учреждений</w:t>
      </w:r>
      <w:r>
        <w:t>.</w:t>
      </w:r>
    </w:p>
    <w:p w:rsidR="007127DD" w:rsidRDefault="007127DD" w:rsidP="00A82B1A">
      <w:pPr>
        <w:spacing w:line="360" w:lineRule="auto"/>
        <w:ind w:firstLine="709"/>
      </w:pPr>
      <w:r w:rsidRPr="007127DD">
        <w:t>Основными источниками финансир</w:t>
      </w:r>
      <w:r>
        <w:t xml:space="preserve">ования образования являются </w:t>
      </w:r>
      <w:r w:rsidR="00BA08D3">
        <w:t xml:space="preserve">федеральный </w:t>
      </w:r>
      <w:r>
        <w:t>бюд</w:t>
      </w:r>
      <w:r w:rsidRPr="007127DD">
        <w:t>же</w:t>
      </w:r>
      <w:r w:rsidR="00BA08D3">
        <w:t>т и бюджеты</w:t>
      </w:r>
      <w:r w:rsidR="00B77264">
        <w:t xml:space="preserve"> </w:t>
      </w:r>
      <w:r w:rsidRPr="007127DD">
        <w:t>субъ</w:t>
      </w:r>
      <w:r w:rsidR="00B77264">
        <w:t>ектов РФ.</w:t>
      </w:r>
    </w:p>
    <w:p w:rsidR="00682EDC" w:rsidRPr="00682EDC" w:rsidRDefault="00682EDC" w:rsidP="00682EDC">
      <w:pPr>
        <w:spacing w:line="360" w:lineRule="auto"/>
        <w:ind w:firstLine="709"/>
        <w:outlineLvl w:val="0"/>
        <w:rPr>
          <w:b/>
          <w:szCs w:val="28"/>
        </w:rPr>
      </w:pPr>
      <w:r w:rsidRPr="00682EDC">
        <w:rPr>
          <w:b/>
        </w:rPr>
        <w:t>Распределение ассигнований на образование в общих расходах бюджетов всех уровней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5606"/>
      </w:tblGrid>
      <w:tr w:rsidR="00682EDC" w:rsidRPr="003060AE" w:rsidTr="00573012">
        <w:trPr>
          <w:jc w:val="center"/>
        </w:trPr>
        <w:tc>
          <w:tcPr>
            <w:tcW w:w="4068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 w:rsidRPr="003060AE">
              <w:rPr>
                <w:sz w:val="20"/>
                <w:szCs w:val="20"/>
              </w:rPr>
              <w:t>Уровень бюджета</w:t>
            </w:r>
          </w:p>
        </w:tc>
        <w:tc>
          <w:tcPr>
            <w:tcW w:w="5606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 w:rsidRPr="003060AE">
              <w:rPr>
                <w:sz w:val="20"/>
                <w:szCs w:val="20"/>
              </w:rPr>
              <w:t>Доля ассигнований в общих расходах бюджетов всех уровней, %</w:t>
            </w:r>
          </w:p>
        </w:tc>
      </w:tr>
      <w:tr w:rsidR="00682EDC" w:rsidRPr="003060AE" w:rsidTr="00573012">
        <w:trPr>
          <w:jc w:val="center"/>
        </w:trPr>
        <w:tc>
          <w:tcPr>
            <w:tcW w:w="4068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 w:rsidRPr="003060AE">
              <w:rPr>
                <w:sz w:val="20"/>
                <w:szCs w:val="20"/>
              </w:rPr>
              <w:t>Федеральный</w:t>
            </w:r>
          </w:p>
        </w:tc>
        <w:tc>
          <w:tcPr>
            <w:tcW w:w="5606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</w:tr>
      <w:tr w:rsidR="00682EDC" w:rsidRPr="003060AE" w:rsidTr="00573012">
        <w:trPr>
          <w:jc w:val="center"/>
        </w:trPr>
        <w:tc>
          <w:tcPr>
            <w:tcW w:w="4068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 w:rsidRPr="003060AE">
              <w:rPr>
                <w:sz w:val="20"/>
                <w:szCs w:val="20"/>
              </w:rPr>
              <w:t>Субъектов федерации</w:t>
            </w:r>
          </w:p>
        </w:tc>
        <w:tc>
          <w:tcPr>
            <w:tcW w:w="5606" w:type="dxa"/>
            <w:vAlign w:val="center"/>
          </w:tcPr>
          <w:p w:rsidR="00682EDC" w:rsidRPr="003060AE" w:rsidRDefault="00682EDC" w:rsidP="0057301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</w:tbl>
    <w:p w:rsidR="00682EDC" w:rsidRDefault="00682EDC" w:rsidP="00682EDC">
      <w:pPr>
        <w:spacing w:line="360" w:lineRule="auto"/>
        <w:ind w:firstLine="709"/>
      </w:pPr>
      <w:r>
        <w:t>Общие расходы на содержание учреждений образования России в последние годы составляют примерно 12% общих расходов консолидированного бюджета. Основная доля расходов приходится на территориальные бюджеты: из федерального бюджета на образование выделяется около 4% его расходов, из бюджетов субъектов РФ - около 20% их расходов. Расходы на образование в соответствии с бюджетной классификацией включают затраты на общее образование, на воспитание детей и подростков, на культурно-просветительскую работу и на подготовку кадров. В общей сумме расходов на образование затраты на детские дошкольные учреждения составляют примерно 15%, на общее среднее образование - 41%, на школы-интернаты - 8%, на среднее специальное образование - 10,5%, на высшее образование - 11,5%.</w:t>
      </w:r>
    </w:p>
    <w:p w:rsidR="00682EDC" w:rsidRDefault="00682EDC" w:rsidP="00682EDC">
      <w:pPr>
        <w:spacing w:line="360" w:lineRule="auto"/>
        <w:ind w:firstLine="709"/>
      </w:pPr>
      <w:r>
        <w:t>В общей сумме бюджетного финансирования средние школы на 99% финансируются из бюджетов субъектов РФ, на 1% - из федерального бюджета. Высшие учебные заведения на 96% финансируются из федерального бюджета и на 4% - из территориальных бюджетов. Законом предусмотрено, что финансирование образования входит в компетенцию Российской Федерации, субъектов Российской Федерации и органов местного самоуправления.</w:t>
      </w:r>
    </w:p>
    <w:p w:rsidR="00682EDC" w:rsidRDefault="00682EDC" w:rsidP="00682EDC">
      <w:pPr>
        <w:spacing w:line="360" w:lineRule="auto"/>
        <w:ind w:firstLine="709"/>
      </w:pPr>
      <w:r w:rsidRPr="00682EDC">
        <w:t>Схема финансирования государственных и муниципальных образовательных учреждений определяется типовым положением о соответствующем виде образовательного учреждения. Расходы на общеобразовательные школы являются основными в общих расходах на образование. Расходы на текущее содержание школ определяются исходя из среднегодового количества классов и среднегодового количества педагогических ставок на один класс</w:t>
      </w:r>
      <w:r>
        <w:t>.</w:t>
      </w:r>
    </w:p>
    <w:p w:rsidR="00682EDC" w:rsidRDefault="00682EDC" w:rsidP="00682EDC">
      <w:pPr>
        <w:spacing w:line="360" w:lineRule="auto"/>
        <w:ind w:firstLine="709"/>
      </w:pPr>
      <w:r w:rsidRPr="00682EDC">
        <w:t>Расходы на школы-интернаты определяются по числу воспитанников, количеству классов и педагогических ставок. В отличие от общеобразовательных школ здесь дополнительно предусматриваются штат воспитателей и некоторые другие расходы. Финансирование детских дошкольных учреждений зависит от среднегодового числа детей, количества групп и часов пребывания одного ребенка в детском учреждении. Плата родителей составляет примерно 20% общих расходов детских дошкольных учреждений.</w:t>
      </w:r>
    </w:p>
    <w:p w:rsidR="00682EDC" w:rsidRDefault="00682EDC" w:rsidP="00682EDC">
      <w:pPr>
        <w:spacing w:line="360" w:lineRule="auto"/>
        <w:ind w:firstLine="709"/>
      </w:pPr>
      <w:r w:rsidRPr="00682EDC">
        <w:t>Финансирование подготовки кадров включает финансирование учреждений профессионально-технического образования, среднего специального образования, высших учебных заведений. Бюджетные ассигнования высшей школе направляются в основном государственным учебным заведениям. Расходы определяются отдельно по каждому ВУЗу (с учетом специфических условий их работы) исходя из среднегодового числа студентов, норм их материального обеспечения, ставок заработной платы преподавателей и других показателей.</w:t>
      </w:r>
    </w:p>
    <w:p w:rsidR="00682EDC" w:rsidRDefault="00682EDC" w:rsidP="00682EDC">
      <w:pPr>
        <w:spacing w:line="360" w:lineRule="auto"/>
        <w:ind w:firstLine="709"/>
      </w:pPr>
      <w:r>
        <w:t>Финансирование высшего образования осуществляется на основе следующих принципов:</w:t>
      </w:r>
    </w:p>
    <w:p w:rsidR="00682EDC" w:rsidRDefault="00682EDC" w:rsidP="00682EDC">
      <w:pPr>
        <w:spacing w:line="360" w:lineRule="auto"/>
        <w:ind w:firstLine="709"/>
      </w:pPr>
      <w:r>
        <w:t xml:space="preserve"> • компенсационный принцип: нехватка средств государственного (регионального) бюджета должна быть компенсирована дополнительными законодательно определенными полномочиями, предоставленными ВУЗу государством (местными властями);</w:t>
      </w:r>
    </w:p>
    <w:p w:rsidR="00682EDC" w:rsidRDefault="00682EDC" w:rsidP="00682EDC">
      <w:pPr>
        <w:spacing w:line="360" w:lineRule="auto"/>
        <w:ind w:firstLine="709"/>
      </w:pPr>
      <w:r>
        <w:t xml:space="preserve"> • принцип наделения высшей школы дополнительными правами в налогообложении;</w:t>
      </w:r>
    </w:p>
    <w:p w:rsidR="00682EDC" w:rsidRDefault="00682EDC" w:rsidP="00682EDC">
      <w:pPr>
        <w:spacing w:line="360" w:lineRule="auto"/>
        <w:ind w:firstLine="709"/>
      </w:pPr>
      <w:r>
        <w:t xml:space="preserve"> • принцип ориентации на вложение средств в развитие высшей школы как субъекта рыночной экономики: инвестирование в перспективные направления деятельности ВУЗа, поддержка развития предпринимательства в высшей школе;</w:t>
      </w:r>
    </w:p>
    <w:p w:rsidR="00682EDC" w:rsidRDefault="00682EDC" w:rsidP="00682EDC">
      <w:pPr>
        <w:spacing w:line="360" w:lineRule="auto"/>
        <w:ind w:firstLine="709"/>
      </w:pPr>
      <w:r>
        <w:t xml:space="preserve"> • реинвестиционный принцип - предоставление высшей школе права на предпринимательский оборот госбюджетных средств в целях увеличения инвестиционных возможностей;</w:t>
      </w:r>
    </w:p>
    <w:p w:rsidR="00682EDC" w:rsidRPr="00682EDC" w:rsidRDefault="00682EDC" w:rsidP="00682EDC">
      <w:pPr>
        <w:spacing w:line="360" w:lineRule="auto"/>
        <w:ind w:firstLine="709"/>
      </w:pPr>
      <w:r>
        <w:t xml:space="preserve"> • принцип равнозначности государственных и негосударственных высших учебных заведений исходит из того, что негосударственные учебные заведения обеспечивают удовлетворение потребностей в образовании, более чутко реагируют на рыночную конъюнктуру, способствуют повышению уровня конкурентности высшего образования, обеспечивают разгрузку государственной системы высшей школы.</w:t>
      </w:r>
    </w:p>
    <w:p w:rsidR="007127DD" w:rsidRDefault="00271888" w:rsidP="00A82B1A">
      <w:pPr>
        <w:spacing w:line="360" w:lineRule="auto"/>
        <w:ind w:firstLine="709"/>
      </w:pPr>
      <w:r w:rsidRPr="00271888">
        <w:t>Так как сфера образования является очень важным показателем развития общества в целом – государство проводит активную политику по данному направлению. В настоящее время на ряду с обычными методами финансирования используются некоторые нововведения одним, из примеров является реализация в РФ национального проекта «Образование»</w:t>
      </w:r>
      <w:r>
        <w:t xml:space="preserve"> с 2006 по 2010 годы.</w:t>
      </w:r>
    </w:p>
    <w:p w:rsidR="00203106" w:rsidRDefault="00271888" w:rsidP="00271888">
      <w:pPr>
        <w:spacing w:line="360" w:lineRule="auto"/>
        <w:ind w:firstLine="709"/>
      </w:pPr>
      <w:r>
        <w:t xml:space="preserve">        Начиная с 2006 года</w:t>
      </w:r>
      <w:r w:rsidR="00203106">
        <w:t xml:space="preserve"> выполнение данного проекта взаимосвязано с реализацией  </w:t>
      </w:r>
      <w:r>
        <w:t xml:space="preserve"> Федеральной целевой программы развития образования на 2006 </w:t>
      </w:r>
      <w:r w:rsidR="00203106">
        <w:t>–</w:t>
      </w:r>
      <w:r>
        <w:t xml:space="preserve"> 2010</w:t>
      </w:r>
      <w:r w:rsidR="00203106">
        <w:t>.</w:t>
      </w:r>
    </w:p>
    <w:p w:rsidR="00271888" w:rsidRDefault="00271888" w:rsidP="00271888">
      <w:pPr>
        <w:spacing w:line="360" w:lineRule="auto"/>
        <w:ind w:firstLine="709"/>
      </w:pPr>
      <w:r>
        <w:t xml:space="preserve">        В 2006 - 2009 годах в рамках реализации проекта "Образование":</w:t>
      </w:r>
    </w:p>
    <w:p w:rsidR="00271888" w:rsidRDefault="00271888" w:rsidP="00271888">
      <w:pPr>
        <w:spacing w:line="360" w:lineRule="auto"/>
        <w:ind w:firstLine="709"/>
      </w:pPr>
      <w:r>
        <w:t xml:space="preserve">        оказана государственная поддержка 57 вузам, 9 тыс. инновационных школ, 340 образовательным учреждениям начального и среднего профессионального образования;</w:t>
      </w:r>
    </w:p>
    <w:p w:rsidR="00271888" w:rsidRDefault="00271888" w:rsidP="00271888">
      <w:pPr>
        <w:spacing w:line="360" w:lineRule="auto"/>
        <w:ind w:firstLine="709"/>
      </w:pPr>
      <w:r>
        <w:t xml:space="preserve">        поощрены 40 тыс. лучших учителей и 21 тыс. представителей талантливой молодежи, ежемесячное вознаграждение за классное руководство выплачено более чем 800 тыс. педагогов;</w:t>
      </w:r>
    </w:p>
    <w:p w:rsidR="00271888" w:rsidRDefault="00271888" w:rsidP="00271888">
      <w:pPr>
        <w:spacing w:line="360" w:lineRule="auto"/>
        <w:ind w:firstLine="709"/>
      </w:pPr>
      <w:r>
        <w:t xml:space="preserve">        поставлено в образовательные учреждения 54,8 тыс. комплектов нового учебного оборудования и 9,8 тыс. школьных автобусов, свыше 52 тыс. российских школ получили доступ в сеть Интернет.</w:t>
      </w:r>
    </w:p>
    <w:p w:rsidR="00271888" w:rsidRDefault="00271888" w:rsidP="00271888">
      <w:pPr>
        <w:spacing w:line="360" w:lineRule="auto"/>
        <w:ind w:firstLine="709"/>
      </w:pPr>
      <w:r>
        <w:t xml:space="preserve">        Результаты реализованных при федеральной поддержке в более чем 30 субъектах Российской Федерации комплексных проектов модернизации образования создали предпосылки для формирования национальной образовательной инициативы "Наша новая школа" (далее - инициатива "Наша новая школа").</w:t>
      </w:r>
    </w:p>
    <w:p w:rsidR="00203106" w:rsidRPr="00203106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szCs w:val="28"/>
        </w:rPr>
      </w:pPr>
      <w:r w:rsidRPr="00203106">
        <w:rPr>
          <w:rFonts w:cs="TimesNewRomanPSMT"/>
          <w:szCs w:val="28"/>
        </w:rPr>
        <w:t>Кроме того, проект привнес значительные изменения в механизмы финансирования образовательных учреждений. Бюджетные средства на реализацию программ развития, как правило, направляются непосредственно в образовательные учреждения, что способствует развитию их финансовой самостоятельности. Распределение средств в общем образовании осуществляется на основе подушевого принципа финансирования с учетом объективных особенностей организации образования для городских и сельских учащихся.</w:t>
      </w:r>
    </w:p>
    <w:p w:rsidR="00203106" w:rsidRPr="00203106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szCs w:val="28"/>
        </w:rPr>
      </w:pPr>
      <w:r w:rsidRPr="00203106">
        <w:rPr>
          <w:rFonts w:cs="TimesNewRomanPSMT"/>
          <w:szCs w:val="28"/>
        </w:rPr>
        <w:t>Принципы установления поощрений лучшим учителям и доплат за классное руководство задают основы для введения новой системы оплаты труда учителей, ориентированной на стимулирование качества и результативности педагогической работы.</w:t>
      </w:r>
    </w:p>
    <w:p w:rsidR="00203106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szCs w:val="28"/>
        </w:rPr>
      </w:pPr>
      <w:r>
        <w:rPr>
          <w:rFonts w:cs="TimesNewRomanPSMT"/>
          <w:szCs w:val="28"/>
        </w:rPr>
        <w:t>Также, 7 февраля 2011 года была утверждена новая Концепция Федеральной целевой программы развити</w:t>
      </w:r>
      <w:r w:rsidR="00682EDC">
        <w:rPr>
          <w:rFonts w:cs="TimesNewRomanPSMT"/>
          <w:szCs w:val="28"/>
        </w:rPr>
        <w:t xml:space="preserve">я образования на 2011-2015 годы, которая должна стать </w:t>
      </w:r>
      <w:r w:rsidR="00682EDC" w:rsidRPr="00682EDC">
        <w:rPr>
          <w:rFonts w:cs="TimesNewRomanPSMT"/>
          <w:szCs w:val="28"/>
        </w:rPr>
        <w:t>основным инструментом государ</w:t>
      </w:r>
      <w:r w:rsidR="00682EDC">
        <w:rPr>
          <w:rFonts w:cs="TimesNewRomanPSMT"/>
          <w:szCs w:val="28"/>
        </w:rPr>
        <w:t>ственной политики в образовании.</w:t>
      </w:r>
    </w:p>
    <w:p w:rsidR="00203106" w:rsidRPr="00C32C6F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i/>
          <w:szCs w:val="28"/>
        </w:rPr>
      </w:pPr>
      <w:r w:rsidRPr="00271888">
        <w:rPr>
          <w:rFonts w:cs="TimesNewRomanPSMT"/>
          <w:szCs w:val="28"/>
        </w:rPr>
        <w:t xml:space="preserve">Целью Федеральной целевой программы развития образования на 2011 - 2015 годы является обеспечение доступности качественного образования, соответствующего требованиям инновационного социально ориентированного развития Российской Федерации. </w:t>
      </w:r>
      <w:r w:rsidRPr="00C32C6F">
        <w:rPr>
          <w:rFonts w:cs="TimesNewRomanPSMT"/>
          <w:i/>
          <w:szCs w:val="28"/>
        </w:rPr>
        <w:t>При этом задачами Программы являются:</w:t>
      </w:r>
    </w:p>
    <w:p w:rsidR="00203106" w:rsidRPr="00C32C6F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i/>
          <w:szCs w:val="28"/>
        </w:rPr>
      </w:pPr>
      <w:r w:rsidRPr="00C32C6F">
        <w:rPr>
          <w:rFonts w:cs="TimesNewRomanPSMT"/>
          <w:i/>
          <w:szCs w:val="28"/>
        </w:rPr>
        <w:t xml:space="preserve">        модернизация общего и дошкольного образования как института социального развития;</w:t>
      </w:r>
    </w:p>
    <w:p w:rsidR="00203106" w:rsidRPr="00C32C6F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i/>
          <w:szCs w:val="28"/>
        </w:rPr>
      </w:pPr>
      <w:r w:rsidRPr="00C32C6F">
        <w:rPr>
          <w:rFonts w:cs="TimesNewRomanPSMT"/>
          <w:i/>
          <w:szCs w:val="28"/>
        </w:rPr>
        <w:t xml:space="preserve">        приведение содержания и структуры профессионального образования в соответствие с потребностями рынка труда;</w:t>
      </w:r>
    </w:p>
    <w:p w:rsidR="00203106" w:rsidRPr="00C32C6F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i/>
          <w:szCs w:val="28"/>
        </w:rPr>
      </w:pPr>
      <w:r w:rsidRPr="00C32C6F">
        <w:rPr>
          <w:rFonts w:cs="TimesNewRomanPSMT"/>
          <w:i/>
          <w:szCs w:val="28"/>
        </w:rPr>
        <w:t xml:space="preserve">        развитие системы оценки качества образования и востребованности образовательных услуг.</w:t>
      </w:r>
    </w:p>
    <w:p w:rsidR="00203106" w:rsidRDefault="00203106" w:rsidP="00203106">
      <w:pPr>
        <w:autoSpaceDE w:val="0"/>
        <w:autoSpaceDN w:val="0"/>
        <w:adjustRightInd w:val="0"/>
        <w:spacing w:line="360" w:lineRule="auto"/>
        <w:ind w:firstLine="709"/>
        <w:rPr>
          <w:rFonts w:cs="TimesNewRomanPSMT"/>
          <w:szCs w:val="28"/>
        </w:rPr>
      </w:pPr>
      <w:r w:rsidRPr="00271888">
        <w:rPr>
          <w:rFonts w:cs="TimesNewRomanPSMT"/>
          <w:szCs w:val="28"/>
        </w:rPr>
        <w:t xml:space="preserve">        Ожидается, что объём финансирования Федеральной целевой программы развития образования на 2011-2015 годы из федерального бюджета составит 54,2 млрд. рублей</w:t>
      </w:r>
      <w:r>
        <w:rPr>
          <w:rFonts w:cs="TimesNewRomanPSMT"/>
          <w:szCs w:val="28"/>
        </w:rPr>
        <w:t>, из бюджетов субъектов РФ 67,1 млрд. рублей</w:t>
      </w:r>
      <w:r w:rsidR="00681187">
        <w:rPr>
          <w:rFonts w:cs="TimesNewRomanPSMT"/>
          <w:szCs w:val="28"/>
        </w:rPr>
        <w:t>, а из внебюджетных источников около 16,6 млрд рублей</w:t>
      </w:r>
      <w:r w:rsidRPr="00271888">
        <w:rPr>
          <w:rFonts w:cs="TimesNewRomanPSMT"/>
          <w:szCs w:val="28"/>
        </w:rPr>
        <w:t xml:space="preserve"> (в ценах соответствующих лет).</w:t>
      </w:r>
    </w:p>
    <w:p w:rsidR="00681187" w:rsidRDefault="001B6EB2" w:rsidP="00681187">
      <w:pPr>
        <w:autoSpaceDE w:val="0"/>
        <w:autoSpaceDN w:val="0"/>
        <w:adjustRightInd w:val="0"/>
        <w:spacing w:line="360" w:lineRule="auto"/>
        <w:rPr>
          <w:rFonts w:cs="TimesNewRomanPSMT"/>
          <w:szCs w:val="28"/>
        </w:rPr>
      </w:pPr>
      <w:r>
        <w:rPr>
          <w:rFonts w:cs="TimesNewRomanPSMT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334.5pt">
            <v:imagedata r:id="rId5" o:title=""/>
          </v:shape>
        </w:pict>
      </w:r>
    </w:p>
    <w:p w:rsidR="00681187" w:rsidRPr="00681187" w:rsidRDefault="001B6EB2" w:rsidP="00681187">
      <w:pPr>
        <w:autoSpaceDE w:val="0"/>
        <w:autoSpaceDN w:val="0"/>
        <w:adjustRightInd w:val="0"/>
        <w:spacing w:line="360" w:lineRule="auto"/>
        <w:rPr>
          <w:rFonts w:cs="TimesNewRomanPSMT"/>
          <w:szCs w:val="28"/>
        </w:rPr>
      </w:pPr>
      <w:r>
        <w:rPr>
          <w:rFonts w:cs="TimesNewRomanPSMT"/>
          <w:szCs w:val="28"/>
        </w:rPr>
        <w:pict>
          <v:shape id="_x0000_i1026" type="#_x0000_t75" style="width:537.75pt;height:270pt">
            <v:imagedata r:id="rId6" o:title=""/>
          </v:shape>
        </w:pict>
      </w:r>
    </w:p>
    <w:p w:rsidR="00203106" w:rsidRPr="00C32C6F" w:rsidRDefault="00203106" w:rsidP="00203106">
      <w:pPr>
        <w:spacing w:line="360" w:lineRule="auto"/>
        <w:ind w:firstLine="709"/>
        <w:rPr>
          <w:i/>
        </w:rPr>
      </w:pPr>
      <w:r w:rsidRPr="00C32C6F">
        <w:rPr>
          <w:i/>
        </w:rPr>
        <w:t xml:space="preserve">  Планируется, что ФЦПРО будет реализована в 2 этапа. В результате выполнения первого этапа (2011 - 2013 годы) будут получены устойчивые модели для дальнейшего массового внедрения преобразований и оценки их результативности, разработаны сценарии для различных типов образовательных учреждений, регионов, социально-экономических условий.</w:t>
      </w:r>
    </w:p>
    <w:p w:rsidR="00271888" w:rsidRPr="00C32C6F" w:rsidRDefault="00203106" w:rsidP="00203106">
      <w:pPr>
        <w:spacing w:line="360" w:lineRule="auto"/>
        <w:ind w:firstLine="709"/>
        <w:rPr>
          <w:i/>
        </w:rPr>
      </w:pPr>
      <w:r w:rsidRPr="00C32C6F">
        <w:rPr>
          <w:i/>
        </w:rPr>
        <w:t>Результатом реализации мероприятий на втором этапе (2014 - 2015 годы) будут являться массовое внедрение всех утверждённых по итогам выполнения первого этапа ФЦПРО успешных моделей и механизмов, наличие новой инфраструктуры в образовательной среде.</w:t>
      </w:r>
    </w:p>
    <w:p w:rsidR="00E13305" w:rsidRDefault="00E13305" w:rsidP="00E13305">
      <w:pPr>
        <w:spacing w:line="360" w:lineRule="auto"/>
        <w:ind w:firstLine="709"/>
      </w:pPr>
      <w:r>
        <w:t>Но между тем, реализация данных проектов не решает все проблемы. Все еще остается вопрос о недостаточности бюджетного финансирования. Эта проблем проявляется по следующим направлениям:</w:t>
      </w:r>
    </w:p>
    <w:p w:rsidR="00E13305" w:rsidRDefault="00E13305" w:rsidP="00E13305">
      <w:pPr>
        <w:spacing w:line="360" w:lineRule="auto"/>
        <w:ind w:firstLine="709"/>
      </w:pPr>
      <w:r>
        <w:t>1. Характерной особенностью современного состояния бюджетного финансирования образования является недостаток выделяемых средств для нормального функционирования бюджетных заведений. Считается, что финансироваться из бюджета должны лишь основные виды расходов образовательных учреждений. И при этом не финансируются даже те расходы, которые предусмотрены законами «Об образовании» и «О высшем и послевузовском профессиональном образовании».</w:t>
      </w:r>
    </w:p>
    <w:p w:rsidR="00E13305" w:rsidRDefault="00E13305" w:rsidP="00E13305">
      <w:pPr>
        <w:spacing w:line="360" w:lineRule="auto"/>
        <w:ind w:firstLine="709"/>
      </w:pPr>
      <w:r>
        <w:t>Такая оценка значимости расходов связана с тем, что действующее законодательство установило достаточно большую зону ответственности государства за обеспечение определённого уровня финансирования образования.</w:t>
      </w:r>
    </w:p>
    <w:p w:rsidR="00E13305" w:rsidRDefault="00E13305" w:rsidP="00E13305">
      <w:pPr>
        <w:spacing w:line="360" w:lineRule="auto"/>
        <w:ind w:firstLine="709"/>
      </w:pPr>
      <w:r>
        <w:t>2. Нормативно-методическая база бюджетного финансирования образования в основном опирается на документы и материалы, разработанные для условий планово-директивной экономики и отсутствия выраженного дефицита бюджетных средств. В современных условиях это порождает ряд проблем, решить которые не удаётся.</w:t>
      </w:r>
    </w:p>
    <w:p w:rsidR="00E13305" w:rsidRDefault="00E13305" w:rsidP="00E13305">
      <w:pPr>
        <w:spacing w:line="360" w:lineRule="auto"/>
        <w:ind w:firstLine="709"/>
      </w:pPr>
      <w:r>
        <w:t>3. В законодательной базе, определяющей процедуру бюджетного финансирования образования, отсутствует механизм, позволяющий с единых позиций решать возникающие частные вопросы финансирования, руководствуясь единственным критерием – целями, на достижение которых направляются бюджетные средства. Такое положение обусловлено принятой в настоящее время трактовкой определения целевого характера использования бюджетных средств, не связанного ни с образовательным процессом, ни с его результатами, а основанного исключительно на соблюдении установленных сметных назначений в рамках экономической бюджетной классификации.</w:t>
      </w:r>
    </w:p>
    <w:p w:rsidR="00E13305" w:rsidRDefault="008B3DA0" w:rsidP="00E13305">
      <w:pPr>
        <w:spacing w:line="360" w:lineRule="auto"/>
        <w:ind w:firstLine="709"/>
      </w:pPr>
      <w:r>
        <w:t xml:space="preserve">Если же сравнивать с развитыми странами, то к примеру, в США на образование приходится 5,7 ВВП, в Великобритании 5,3 ВВП, в Канаде 5,2% ВВП. В России этот показатель составляет 3,9% ВВП. Вроде бы незначительная разница, но не стоит забывать, что в этих странах и ВВП выше, и уровень коррупции намного ниже. </w:t>
      </w:r>
      <w:r w:rsidR="000F7341">
        <w:t xml:space="preserve">И как известно, университеты США занимают первые места в рейтинге ста лучших мировых образовательных учреждений, где их представлено около 50, также представлено около 15 университетов Англии и только один университет от России - МГУ, который находится на 74 позиции, то есть за последние 7 лет он опустился с 66 места. Что также свидетельствует о некачественном образовании. </w:t>
      </w:r>
    </w:p>
    <w:p w:rsidR="0040596B" w:rsidRDefault="00E13305" w:rsidP="00E13305">
      <w:pPr>
        <w:spacing w:line="360" w:lineRule="auto"/>
        <w:ind w:firstLine="709"/>
      </w:pPr>
      <w:r w:rsidRPr="00573012">
        <w:t>Таким образом, можно сказать, что бюджетное финансирование не способно обеспечить полностью ресурсную базу.</w:t>
      </w:r>
    </w:p>
    <w:p w:rsidR="0040596B" w:rsidRPr="00573012" w:rsidRDefault="0040596B" w:rsidP="00E13305">
      <w:pPr>
        <w:spacing w:line="360" w:lineRule="auto"/>
        <w:ind w:firstLine="709"/>
      </w:pPr>
      <w:r>
        <w:br w:type="page"/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1400"/>
        <w:gridCol w:w="1153"/>
        <w:gridCol w:w="1360"/>
        <w:gridCol w:w="1223"/>
        <w:gridCol w:w="664"/>
        <w:gridCol w:w="664"/>
        <w:gridCol w:w="1327"/>
      </w:tblGrid>
      <w:tr w:rsidR="0040596B" w:rsidTr="0040596B"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Источники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ind w:left="2102"/>
              <w:rPr>
                <w:rStyle w:val="FontStyle11"/>
              </w:rPr>
            </w:pPr>
            <w:r>
              <w:rPr>
                <w:rStyle w:val="FontStyle11"/>
              </w:rPr>
              <w:t>Объем финансирования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2011-2015 годы - всего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0596B" w:rsidRDefault="0040596B" w:rsidP="0040596B">
            <w:pPr>
              <w:pStyle w:val="Style3"/>
              <w:widowControl/>
              <w:ind w:left="200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том числе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и направления расходов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</w:p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2011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2012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2015 год</w:t>
            </w:r>
          </w:p>
        </w:tc>
      </w:tr>
      <w:tr w:rsidR="0040596B" w:rsidTr="0040596B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Федеральный бюджет - всего 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54228,8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13689,8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10575,49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10 444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9726,67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9792,84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25225,1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6771,6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5068,5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4685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4214,8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4485,2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НИОКР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779,26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198,3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138,3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145,8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147,38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149,48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прочие нужды -</w:t>
            </w:r>
          </w:p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всего</w:t>
            </w:r>
          </w:p>
          <w:p w:rsidR="0040596B" w:rsidRDefault="0040596B" w:rsidP="0040596B">
            <w:pPr>
              <w:pStyle w:val="Style2"/>
              <w:widowControl/>
              <w:spacing w:line="250" w:lineRule="exact"/>
              <w:rPr>
                <w:rStyle w:val="FontStyle11"/>
              </w:rPr>
            </w:pPr>
            <w:r>
              <w:rPr>
                <w:rStyle w:val="FontStyle11"/>
              </w:rPr>
              <w:t>в том числе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28224,44 10469,68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spacing w:line="490" w:lineRule="exact"/>
              <w:rPr>
                <w:rStyle w:val="FontStyle11"/>
              </w:rPr>
            </w:pPr>
            <w:r>
              <w:rPr>
                <w:rStyle w:val="FontStyle11"/>
              </w:rPr>
              <w:t>6719,9 1898,1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spacing w:line="480" w:lineRule="exact"/>
              <w:rPr>
                <w:rStyle w:val="FontStyle11"/>
              </w:rPr>
            </w:pPr>
            <w:r>
              <w:rPr>
                <w:rStyle w:val="FontStyle11"/>
              </w:rPr>
              <w:t>5368,69 2203,04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5613,2 1998,21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spacing w:line="490" w:lineRule="exact"/>
              <w:rPr>
                <w:rStyle w:val="FontStyle11"/>
              </w:rPr>
            </w:pPr>
            <w:r>
              <w:rPr>
                <w:rStyle w:val="FontStyle11"/>
              </w:rPr>
              <w:t>5364,49 2201,78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4"/>
              <w:widowControl/>
              <w:spacing w:line="490" w:lineRule="exact"/>
              <w:rPr>
                <w:rStyle w:val="FontStyle11"/>
              </w:rPr>
            </w:pPr>
            <w:r>
              <w:rPr>
                <w:rStyle w:val="FontStyle11"/>
              </w:rPr>
              <w:t>5158,16 2168,55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Бюджеты субъектов Российской Федерации -всего</w:t>
            </w:r>
          </w:p>
          <w:p w:rsidR="0040596B" w:rsidRDefault="0040596B" w:rsidP="0040596B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67070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8690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18780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15590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10660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НИОКР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2012,1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260,7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400,5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563,4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467,7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319,8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65057,9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8429,3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12949,5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18216,6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15122,3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10340,2</w:t>
            </w:r>
          </w:p>
        </w:tc>
      </w:tr>
      <w:tr w:rsidR="0040596B" w:rsidTr="0040596B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88" w:lineRule="exact"/>
              <w:rPr>
                <w:rStyle w:val="FontStyle11"/>
              </w:rPr>
            </w:pPr>
            <w:r>
              <w:rPr>
                <w:rStyle w:val="FontStyle11"/>
              </w:rPr>
              <w:t>В небюджетные источники - всего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16610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2210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3040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4820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3540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3000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88" w:lineRule="exact"/>
              <w:rPr>
                <w:rStyle w:val="FontStyle11"/>
              </w:rPr>
            </w:pPr>
            <w:r>
              <w:rPr>
                <w:rStyle w:val="FontStyle11"/>
              </w:rPr>
              <w:t>в том числе: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3780,8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760,2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702,7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632,2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672,8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НИОКР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498,3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144,6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106,2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90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12330,9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1130,8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2188,6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3972,7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2801,6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2237,2</w:t>
            </w:r>
          </w:p>
        </w:tc>
      </w:tr>
      <w:tr w:rsidR="0040596B" w:rsidTr="004059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137 908,8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24589,8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26965,49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34044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28856,67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96B" w:rsidRDefault="0040596B" w:rsidP="0040596B">
            <w:pPr>
              <w:pStyle w:val="Style1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23452,84</w:t>
            </w:r>
          </w:p>
        </w:tc>
      </w:tr>
    </w:tbl>
    <w:p w:rsidR="00271888" w:rsidRPr="00573012" w:rsidRDefault="00271888" w:rsidP="00E13305">
      <w:pPr>
        <w:spacing w:line="360" w:lineRule="auto"/>
        <w:ind w:firstLine="709"/>
      </w:pPr>
    </w:p>
    <w:p w:rsidR="00271888" w:rsidRPr="00271888" w:rsidRDefault="00271888" w:rsidP="00A82B1A">
      <w:pPr>
        <w:spacing w:line="360" w:lineRule="auto"/>
        <w:ind w:firstLine="709"/>
      </w:pPr>
    </w:p>
    <w:p w:rsidR="003F5238" w:rsidRPr="00A82B1A" w:rsidRDefault="003F5238" w:rsidP="00573012">
      <w:pPr>
        <w:autoSpaceDE w:val="0"/>
        <w:autoSpaceDN w:val="0"/>
        <w:adjustRightInd w:val="0"/>
        <w:spacing w:line="360" w:lineRule="auto"/>
      </w:pPr>
      <w:bookmarkStart w:id="0" w:name="_GoBack"/>
      <w:bookmarkEnd w:id="0"/>
    </w:p>
    <w:sectPr w:rsidR="003F5238" w:rsidRPr="00A82B1A" w:rsidSect="003F52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972CF9D8"/>
    <w:lvl w:ilvl="0">
      <w:start w:val="1"/>
      <w:numFmt w:val="bullet"/>
      <w:pStyle w:val="5"/>
      <w:lvlText w:val="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667"/>
    <w:rsid w:val="000F7341"/>
    <w:rsid w:val="001B6EB2"/>
    <w:rsid w:val="00203106"/>
    <w:rsid w:val="00250209"/>
    <w:rsid w:val="00271888"/>
    <w:rsid w:val="002A7667"/>
    <w:rsid w:val="002D0DBB"/>
    <w:rsid w:val="003F5238"/>
    <w:rsid w:val="0040596B"/>
    <w:rsid w:val="00573012"/>
    <w:rsid w:val="00596B0B"/>
    <w:rsid w:val="00681187"/>
    <w:rsid w:val="00682EDC"/>
    <w:rsid w:val="007127DD"/>
    <w:rsid w:val="007A711B"/>
    <w:rsid w:val="00855D4E"/>
    <w:rsid w:val="00867979"/>
    <w:rsid w:val="008B3DA0"/>
    <w:rsid w:val="00A82B1A"/>
    <w:rsid w:val="00A90990"/>
    <w:rsid w:val="00B13A84"/>
    <w:rsid w:val="00B77264"/>
    <w:rsid w:val="00BA08D3"/>
    <w:rsid w:val="00C32C6F"/>
    <w:rsid w:val="00C45927"/>
    <w:rsid w:val="00C97D05"/>
    <w:rsid w:val="00DB31D2"/>
    <w:rsid w:val="00E13305"/>
    <w:rsid w:val="00EF26DE"/>
    <w:rsid w:val="00EF63ED"/>
    <w:rsid w:val="00F576F1"/>
    <w:rsid w:val="00F94E35"/>
    <w:rsid w:val="00FE020E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A1757E1-D243-4ED6-BEEC-0D78B75A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2"/>
    <w:qFormat/>
    <w:rsid w:val="00A90990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2D0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+"/>
    <w:basedOn w:val="a"/>
    <w:qFormat/>
    <w:rsid w:val="00A90990"/>
    <w:pPr>
      <w:spacing w:before="120" w:after="12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++"/>
    <w:basedOn w:val="a"/>
    <w:next w:val="a"/>
    <w:qFormat/>
    <w:rsid w:val="00A90990"/>
    <w:pPr>
      <w:keepNext/>
      <w:spacing w:before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next w:val="a"/>
    <w:rsid w:val="002D0DBB"/>
    <w:pPr>
      <w:spacing w:before="2000"/>
      <w:jc w:val="center"/>
    </w:pPr>
    <w:rPr>
      <w:b/>
    </w:rPr>
  </w:style>
  <w:style w:type="paragraph" w:customStyle="1" w:styleId="1-">
    <w:name w:val="Заголовок1 - титул"/>
    <w:basedOn w:val="1"/>
    <w:next w:val="a"/>
    <w:rsid w:val="002D0DBB"/>
    <w:pPr>
      <w:spacing w:before="1000" w:after="120"/>
      <w:jc w:val="center"/>
    </w:pPr>
    <w:rPr>
      <w:rFonts w:ascii="Times New Roman" w:hAnsi="Times New Roman"/>
      <w:caps/>
      <w:sz w:val="40"/>
    </w:rPr>
  </w:style>
  <w:style w:type="paragraph" w:customStyle="1" w:styleId="-">
    <w:name w:val="Подзаголовок - титул"/>
    <w:basedOn w:val="a"/>
    <w:next w:val="a"/>
    <w:rsid w:val="002D0DBB"/>
    <w:pPr>
      <w:keepNext/>
      <w:spacing w:before="120" w:after="120"/>
      <w:jc w:val="center"/>
    </w:pPr>
    <w:rPr>
      <w:b/>
      <w:sz w:val="32"/>
    </w:rPr>
  </w:style>
  <w:style w:type="paragraph" w:customStyle="1" w:styleId="a4">
    <w:name w:val="Адрес организации"/>
    <w:basedOn w:val="a"/>
    <w:next w:val="a"/>
    <w:rsid w:val="002D0DBB"/>
    <w:pPr>
      <w:tabs>
        <w:tab w:val="left" w:pos="284"/>
        <w:tab w:val="left" w:pos="5103"/>
      </w:tabs>
      <w:spacing w:before="320" w:after="320"/>
    </w:pPr>
  </w:style>
  <w:style w:type="paragraph" w:customStyle="1" w:styleId="10">
    <w:name w:val="Стиль1"/>
    <w:basedOn w:val="2"/>
    <w:rsid w:val="002D0DBB"/>
  </w:style>
  <w:style w:type="paragraph" w:customStyle="1" w:styleId="20">
    <w:name w:val="Заголовок2"/>
    <w:basedOn w:val="a"/>
    <w:next w:val="2"/>
    <w:rsid w:val="002D0DBB"/>
    <w:pPr>
      <w:spacing w:before="120" w:after="120"/>
      <w:jc w:val="center"/>
    </w:pPr>
    <w:rPr>
      <w:b/>
      <w:i/>
    </w:rPr>
  </w:style>
  <w:style w:type="paragraph" w:customStyle="1" w:styleId="a5">
    <w:name w:val="Текст реферата"/>
    <w:basedOn w:val="a"/>
    <w:next w:val="a"/>
    <w:rsid w:val="00EF63ED"/>
    <w:pPr>
      <w:spacing w:after="200" w:line="288" w:lineRule="auto"/>
      <w:ind w:left="1134" w:right="1134"/>
    </w:pPr>
    <w:rPr>
      <w:i/>
    </w:rPr>
  </w:style>
  <w:style w:type="paragraph" w:customStyle="1" w:styleId="12">
    <w:name w:val="Основной текст 12"/>
    <w:basedOn w:val="a"/>
    <w:rsid w:val="00A90990"/>
    <w:pPr>
      <w:ind w:firstLine="680"/>
    </w:pPr>
  </w:style>
  <w:style w:type="paragraph" w:customStyle="1" w:styleId="5">
    <w:name w:val="Маркированный список 5м"/>
    <w:basedOn w:val="50"/>
    <w:rsid w:val="007A711B"/>
    <w:pPr>
      <w:numPr>
        <w:numId w:val="6"/>
      </w:numPr>
    </w:pPr>
  </w:style>
  <w:style w:type="paragraph" w:styleId="50">
    <w:name w:val="List Bullet 5"/>
    <w:basedOn w:val="a"/>
    <w:rsid w:val="007A711B"/>
  </w:style>
  <w:style w:type="paragraph" w:customStyle="1" w:styleId="09">
    <w:name w:val="Междустрочный 0.9"/>
    <w:basedOn w:val="12"/>
    <w:rsid w:val="00855D4E"/>
    <w:pPr>
      <w:spacing w:line="216" w:lineRule="auto"/>
    </w:pPr>
  </w:style>
  <w:style w:type="paragraph" w:customStyle="1" w:styleId="a6">
    <w:name w:val="Перечень таблиц"/>
    <w:basedOn w:val="a"/>
    <w:rsid w:val="007A711B"/>
    <w:pPr>
      <w:jc w:val="right"/>
    </w:pPr>
  </w:style>
  <w:style w:type="paragraph" w:customStyle="1" w:styleId="11">
    <w:name w:val="Текст1"/>
    <w:basedOn w:val="a"/>
    <w:rsid w:val="007A711B"/>
    <w:pPr>
      <w:spacing w:before="60" w:after="60"/>
      <w:jc w:val="center"/>
    </w:pPr>
    <w:rPr>
      <w:b/>
      <w:szCs w:val="20"/>
    </w:rPr>
  </w:style>
  <w:style w:type="paragraph" w:customStyle="1" w:styleId="110">
    <w:name w:val="Текст11"/>
    <w:basedOn w:val="11"/>
    <w:rsid w:val="007A711B"/>
    <w:pPr>
      <w:spacing w:before="360" w:after="360"/>
    </w:pPr>
    <w:rPr>
      <w:snapToGrid w:val="0"/>
    </w:rPr>
  </w:style>
  <w:style w:type="paragraph" w:customStyle="1" w:styleId="120">
    <w:name w:val="Текст12"/>
    <w:basedOn w:val="11"/>
    <w:rsid w:val="007A711B"/>
    <w:pPr>
      <w:spacing w:before="180" w:after="180" w:line="192" w:lineRule="auto"/>
    </w:pPr>
  </w:style>
  <w:style w:type="paragraph" w:customStyle="1" w:styleId="a7">
    <w:name w:val="Текст таблицы"/>
    <w:basedOn w:val="a"/>
    <w:rsid w:val="007A711B"/>
    <w:pPr>
      <w:spacing w:before="60" w:after="60"/>
      <w:ind w:left="113"/>
      <w:jc w:val="left"/>
    </w:pPr>
    <w:rPr>
      <w:szCs w:val="20"/>
    </w:rPr>
  </w:style>
  <w:style w:type="paragraph" w:customStyle="1" w:styleId="13">
    <w:name w:val="Число 1"/>
    <w:basedOn w:val="a"/>
    <w:rsid w:val="007A711B"/>
    <w:pPr>
      <w:spacing w:before="200" w:after="200"/>
      <w:jc w:val="center"/>
    </w:pPr>
    <w:rPr>
      <w:szCs w:val="20"/>
    </w:rPr>
  </w:style>
  <w:style w:type="paragraph" w:customStyle="1" w:styleId="111">
    <w:name w:val="Число 11"/>
    <w:basedOn w:val="13"/>
    <w:rsid w:val="007A711B"/>
    <w:pPr>
      <w:spacing w:before="360" w:after="360"/>
    </w:pPr>
  </w:style>
  <w:style w:type="paragraph" w:customStyle="1" w:styleId="14">
    <w:name w:val="Число 1р"/>
    <w:basedOn w:val="13"/>
    <w:rsid w:val="007A711B"/>
    <w:pPr>
      <w:tabs>
        <w:tab w:val="decimal" w:pos="907"/>
      </w:tabs>
      <w:jc w:val="left"/>
    </w:pPr>
  </w:style>
  <w:style w:type="paragraph" w:customStyle="1" w:styleId="112">
    <w:name w:val="Число 11р"/>
    <w:basedOn w:val="14"/>
    <w:rsid w:val="007A711B"/>
    <w:pPr>
      <w:spacing w:before="360" w:after="360"/>
    </w:pPr>
  </w:style>
  <w:style w:type="paragraph" w:customStyle="1" w:styleId="121">
    <w:name w:val="Число 12"/>
    <w:basedOn w:val="a"/>
    <w:rsid w:val="007A711B"/>
    <w:pPr>
      <w:spacing w:before="60" w:after="60"/>
      <w:jc w:val="center"/>
    </w:pPr>
    <w:rPr>
      <w:szCs w:val="20"/>
    </w:rPr>
  </w:style>
  <w:style w:type="paragraph" w:customStyle="1" w:styleId="122">
    <w:name w:val="Число 12р"/>
    <w:basedOn w:val="a"/>
    <w:rsid w:val="007A711B"/>
    <w:pPr>
      <w:tabs>
        <w:tab w:val="decimal" w:pos="884"/>
      </w:tabs>
      <w:jc w:val="left"/>
    </w:pPr>
    <w:rPr>
      <w:szCs w:val="20"/>
    </w:rPr>
  </w:style>
  <w:style w:type="paragraph" w:styleId="a8">
    <w:name w:val="footer"/>
    <w:aliases w:val="1с"/>
    <w:basedOn w:val="a"/>
    <w:rsid w:val="00C45927"/>
    <w:pPr>
      <w:tabs>
        <w:tab w:val="left" w:pos="9356"/>
      </w:tabs>
    </w:pPr>
  </w:style>
  <w:style w:type="paragraph" w:styleId="a9">
    <w:name w:val="header"/>
    <w:aliases w:val="2"/>
    <w:basedOn w:val="a"/>
    <w:rsid w:val="00C97D05"/>
    <w:pPr>
      <w:jc w:val="right"/>
    </w:pPr>
  </w:style>
  <w:style w:type="paragraph" w:styleId="aa">
    <w:name w:val="footnote text"/>
    <w:aliases w:val="10"/>
    <w:basedOn w:val="a"/>
    <w:semiHidden/>
    <w:rsid w:val="00EF63ED"/>
    <w:rPr>
      <w:sz w:val="20"/>
      <w:szCs w:val="20"/>
    </w:rPr>
  </w:style>
  <w:style w:type="paragraph" w:customStyle="1" w:styleId="113">
    <w:name w:val="Междустрочный 1.1"/>
    <w:basedOn w:val="12"/>
    <w:rsid w:val="00855D4E"/>
    <w:pPr>
      <w:spacing w:line="264" w:lineRule="auto"/>
    </w:pPr>
  </w:style>
  <w:style w:type="paragraph" w:customStyle="1" w:styleId="ab">
    <w:name w:val="Подчеркивание"/>
    <w:basedOn w:val="ac"/>
    <w:rsid w:val="00855D4E"/>
    <w:rPr>
      <w:u w:val="single"/>
    </w:rPr>
  </w:style>
  <w:style w:type="paragraph" w:styleId="ac">
    <w:name w:val="Body Text"/>
    <w:basedOn w:val="a"/>
    <w:rsid w:val="00855D4E"/>
    <w:pPr>
      <w:spacing w:after="120"/>
    </w:pPr>
  </w:style>
  <w:style w:type="character" w:customStyle="1" w:styleId="ad">
    <w:name w:val="Курсив"/>
    <w:basedOn w:val="a0"/>
    <w:rsid w:val="00855D4E"/>
    <w:rPr>
      <w:i/>
      <w:sz w:val="26"/>
    </w:rPr>
  </w:style>
  <w:style w:type="character" w:styleId="ae">
    <w:name w:val="footnote reference"/>
    <w:basedOn w:val="a0"/>
    <w:rsid w:val="00596B0B"/>
    <w:rPr>
      <w:sz w:val="24"/>
      <w:vertAlign w:val="superscript"/>
    </w:rPr>
  </w:style>
  <w:style w:type="character" w:customStyle="1" w:styleId="03">
    <w:name w:val="Уплотнение 0.3"/>
    <w:basedOn w:val="a0"/>
    <w:rsid w:val="00596B0B"/>
    <w:rPr>
      <w:spacing w:val="-6"/>
    </w:rPr>
  </w:style>
  <w:style w:type="character" w:customStyle="1" w:styleId="02">
    <w:name w:val="Уплотнение 0.2"/>
    <w:basedOn w:val="ad"/>
    <w:rsid w:val="00596B0B"/>
    <w:rPr>
      <w:i/>
      <w:spacing w:val="-4"/>
      <w:sz w:val="26"/>
    </w:rPr>
  </w:style>
  <w:style w:type="table" w:styleId="af">
    <w:name w:val="Table Grid"/>
    <w:basedOn w:val="a1"/>
    <w:rsid w:val="00FE5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0596B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Bookman Old Style" w:hAnsi="Bookman Old Style"/>
    </w:rPr>
  </w:style>
  <w:style w:type="paragraph" w:customStyle="1" w:styleId="Style3">
    <w:name w:val="Style3"/>
    <w:basedOn w:val="a"/>
    <w:rsid w:val="0040596B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</w:rPr>
  </w:style>
  <w:style w:type="paragraph" w:customStyle="1" w:styleId="Style4">
    <w:name w:val="Style4"/>
    <w:basedOn w:val="a"/>
    <w:rsid w:val="0040596B"/>
    <w:pPr>
      <w:widowControl w:val="0"/>
      <w:autoSpaceDE w:val="0"/>
      <w:autoSpaceDN w:val="0"/>
      <w:adjustRightInd w:val="0"/>
      <w:spacing w:line="499" w:lineRule="exact"/>
      <w:jc w:val="center"/>
    </w:pPr>
    <w:rPr>
      <w:rFonts w:ascii="Bookman Old Style" w:hAnsi="Bookman Old Style"/>
    </w:rPr>
  </w:style>
  <w:style w:type="character" w:customStyle="1" w:styleId="FontStyle11">
    <w:name w:val="Font Style11"/>
    <w:basedOn w:val="a0"/>
    <w:rsid w:val="0040596B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basedOn w:val="a0"/>
    <w:rsid w:val="0040596B"/>
    <w:rPr>
      <w:rFonts w:ascii="Cambria" w:hAnsi="Cambria" w:cs="Cambria"/>
      <w:b/>
      <w:bCs/>
      <w:sz w:val="14"/>
      <w:szCs w:val="14"/>
    </w:rPr>
  </w:style>
  <w:style w:type="paragraph" w:customStyle="1" w:styleId="Style1">
    <w:name w:val="Style1"/>
    <w:basedOn w:val="a"/>
    <w:rsid w:val="0040596B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cp:lastModifiedBy>Irina</cp:lastModifiedBy>
  <cp:revision>2</cp:revision>
  <dcterms:created xsi:type="dcterms:W3CDTF">2014-08-17T09:38:00Z</dcterms:created>
  <dcterms:modified xsi:type="dcterms:W3CDTF">2014-08-17T09:38:00Z</dcterms:modified>
</cp:coreProperties>
</file>