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 xml:space="preserve"> </w:t>
      </w:r>
    </w:p>
    <w:p w:rsidR="00892377" w:rsidRDefault="00892377">
      <w:pPr>
        <w:pStyle w:val="5"/>
        <w:spacing w:before="0" w:after="0" w:line="360" w:lineRule="auto"/>
        <w:ind w:left="720" w:hanging="720"/>
        <w:jc w:val="center"/>
        <w:rPr>
          <w:i w:val="0"/>
          <w:iCs w:val="0"/>
          <w:sz w:val="28"/>
          <w:lang w:val="en-US"/>
        </w:rPr>
      </w:pPr>
    </w:p>
    <w:p w:rsidR="00892377" w:rsidRDefault="00892377">
      <w:pPr>
        <w:pStyle w:val="5"/>
        <w:spacing w:before="0" w:after="0" w:line="360" w:lineRule="auto"/>
        <w:ind w:left="720" w:hanging="720"/>
        <w:jc w:val="center"/>
        <w:rPr>
          <w:i w:val="0"/>
          <w:iCs w:val="0"/>
          <w:sz w:val="28"/>
          <w:lang w:val="en-US"/>
        </w:rPr>
      </w:pPr>
    </w:p>
    <w:p w:rsidR="00892377" w:rsidRDefault="00892377">
      <w:pPr>
        <w:pStyle w:val="5"/>
        <w:spacing w:before="0" w:after="0" w:line="360" w:lineRule="auto"/>
        <w:ind w:left="720" w:hanging="720"/>
        <w:jc w:val="center"/>
        <w:rPr>
          <w:i w:val="0"/>
          <w:iCs w:val="0"/>
          <w:sz w:val="28"/>
          <w:lang w:val="en-US"/>
        </w:rPr>
      </w:pPr>
    </w:p>
    <w:p w:rsidR="00892377" w:rsidRDefault="00892377">
      <w:pPr>
        <w:pStyle w:val="5"/>
        <w:spacing w:before="0" w:after="0" w:line="360" w:lineRule="auto"/>
        <w:ind w:left="720" w:hanging="720"/>
        <w:jc w:val="center"/>
        <w:rPr>
          <w:i w:val="0"/>
          <w:iCs w:val="0"/>
          <w:sz w:val="28"/>
          <w:lang w:val="en-US"/>
        </w:rPr>
      </w:pPr>
    </w:p>
    <w:p w:rsidR="00892377" w:rsidRDefault="00892377">
      <w:pPr>
        <w:pStyle w:val="5"/>
        <w:spacing w:before="0" w:after="0" w:line="360" w:lineRule="auto"/>
        <w:ind w:left="720" w:hanging="720"/>
        <w:jc w:val="center"/>
        <w:rPr>
          <w:i w:val="0"/>
          <w:iCs w:val="0"/>
          <w:sz w:val="28"/>
          <w:lang w:val="en-US"/>
        </w:rPr>
      </w:pPr>
    </w:p>
    <w:p w:rsidR="00892377" w:rsidRDefault="00892377">
      <w:pPr>
        <w:pStyle w:val="5"/>
        <w:spacing w:before="0" w:after="0" w:line="360" w:lineRule="auto"/>
        <w:ind w:left="720" w:hanging="720"/>
        <w:jc w:val="center"/>
        <w:rPr>
          <w:i w:val="0"/>
          <w:iCs w:val="0"/>
          <w:sz w:val="28"/>
          <w:lang w:val="en-US"/>
        </w:rPr>
      </w:pPr>
    </w:p>
    <w:p w:rsidR="00892377" w:rsidRDefault="00892377">
      <w:pPr>
        <w:pStyle w:val="5"/>
        <w:spacing w:before="0" w:after="0" w:line="360" w:lineRule="auto"/>
        <w:ind w:left="720" w:hanging="720"/>
        <w:jc w:val="center"/>
        <w:rPr>
          <w:i w:val="0"/>
          <w:iCs w:val="0"/>
          <w:sz w:val="28"/>
          <w:lang w:val="en-US"/>
        </w:rPr>
      </w:pPr>
    </w:p>
    <w:p w:rsidR="00892377" w:rsidRDefault="00892377">
      <w:pPr>
        <w:pStyle w:val="5"/>
        <w:spacing w:before="0" w:after="0" w:line="360" w:lineRule="auto"/>
        <w:ind w:left="720" w:hanging="720"/>
        <w:jc w:val="center"/>
        <w:rPr>
          <w:i w:val="0"/>
          <w:iCs w:val="0"/>
          <w:sz w:val="28"/>
          <w:lang w:val="en-US"/>
        </w:rPr>
      </w:pPr>
    </w:p>
    <w:p w:rsidR="00892377" w:rsidRDefault="00892377">
      <w:pPr>
        <w:pStyle w:val="5"/>
        <w:spacing w:before="0" w:after="0" w:line="360" w:lineRule="auto"/>
        <w:ind w:left="720" w:hanging="720"/>
        <w:jc w:val="center"/>
        <w:rPr>
          <w:i w:val="0"/>
          <w:iCs w:val="0"/>
          <w:sz w:val="28"/>
          <w:lang w:val="en-US"/>
        </w:rPr>
      </w:pPr>
    </w:p>
    <w:p w:rsidR="00892377" w:rsidRDefault="00F53DE3">
      <w:pPr>
        <w:pStyle w:val="5"/>
        <w:spacing w:before="0" w:after="0" w:line="360" w:lineRule="auto"/>
        <w:ind w:left="720" w:hanging="720"/>
        <w:jc w:val="center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Реферат на тему:</w:t>
      </w:r>
    </w:p>
    <w:p w:rsidR="00892377" w:rsidRDefault="00F53DE3">
      <w:pPr>
        <w:pStyle w:val="5"/>
        <w:spacing w:before="0" w:after="0" w:line="360" w:lineRule="auto"/>
        <w:ind w:left="720" w:hanging="720"/>
        <w:jc w:val="center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Хуліганство</w:t>
      </w:r>
      <w:r>
        <w:rPr>
          <w:i w:val="0"/>
          <w:iCs w:val="0"/>
          <w:sz w:val="28"/>
          <w:lang w:val="ru-RU"/>
        </w:rPr>
        <w:t xml:space="preserve">. </w:t>
      </w:r>
      <w:r>
        <w:rPr>
          <w:i w:val="0"/>
          <w:iCs w:val="0"/>
          <w:sz w:val="28"/>
        </w:rPr>
        <w:t xml:space="preserve"> Нищення, руйнування чи псування пам’яток історії або культури</w:t>
      </w:r>
      <w:r>
        <w:rPr>
          <w:i w:val="0"/>
          <w:iCs w:val="0"/>
          <w:sz w:val="28"/>
          <w:lang w:val="ru-RU"/>
        </w:rPr>
        <w:t xml:space="preserve"> </w:t>
      </w:r>
      <w:r>
        <w:rPr>
          <w:i w:val="0"/>
          <w:iCs w:val="0"/>
          <w:sz w:val="28"/>
        </w:rPr>
        <w:t xml:space="preserve"> Наруга над могилою</w:t>
      </w:r>
    </w:p>
    <w:p w:rsidR="00892377" w:rsidRDefault="00892377">
      <w:pPr>
        <w:pStyle w:val="3"/>
        <w:spacing w:before="0"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br w:type="page"/>
        <w:t xml:space="preserve">1. Хуліганство, тобто грубе порушення громадського порядку з мотивів явної неповаги до суспільства, що супроводжується особливою зухвалістю чи винятковим цінізмом,— 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карається штрафом до п’ятдесяти неоподатковуваних мінімумів доходів громадян або арештом на строк до шести місяців, або обмеженням волі на строк до трьох років.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 Ті самі дії, вчинені групою осіб,— караються обмеженням волі на строк до п’яти .років або позбавленням волі на строк до чотирьох років.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3. Дії, передбачені частинами першою або другою цієї статті, якщо вони були вчинені особою, раніше судимою за хуліганство, чи пов’язані з опором представниковій влади або представникові громадськості, який виконує обов’язки з охорони громадського порядку, чи іншим громадянам, які припиняли хуліганські дії,—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караються позбавленням волі на строк від двох до п’яти років.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4. Дії, передбачені частинами першою, другою’або третьою цієї статті, якщо вони вчинені із застосуванням вогнепальної або холодної зброї чи іншого предмета, спеціально пристосованого або заздалегідь заготовленого для нанесення тілесних ушкоджень,—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караються позбавленням волі на строк від трьох до семи років.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 Основний безпосередній об’єкт хуліганства — громадський порядок. Його додатковим факультативним об’єктом можуть виступати здоров’я особи, авторитет органів державної влади, громадська безпека.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КК не пов’язує наявність хуліганства з його вчиненням у громадських місцях. Таким чином, громадський порядок може бути порушений і за відсутності сторонніх осіб чи у присутності лише потерпілого (вночі, у безлюдному місці, в квартирі). Однак вчинення хуліганських дій у присутності інших людей, в обстановці’проведення публічного заходу (покладення квітів до пам’ятника, концерт тощо) є однією із ознак, яка вказує на грубість порушення громадського порядку. 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 Об’єктивна сторона хуліганства в самому КК не конкретизована. Аналіз диспозиції ст. 296 показує, що обов’язковою ознакою об’єктивної сторони цього злочину є лише вчинення діяння. Саме ж діяння полягає в грубому порушенні громадського порядку, яке супроводжується особливою зухвалістю чи винятковим цинізмом.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Хуліганство може полягати у застосуванні насильства (побоїв, заподіяння тілесних ушкоджень) до потерпілих, знищенні або пошкодженні майна, безладній стрілянині, використанні сильнодіючих речовин з метою зірвати проведення масового заходу, проявах безсоромності, знущанні над безпорадними людьми тощо. Тобто хуліганство може виражатися у вчиненні діянь, які передбачені іншими статтями Особливої частини КК або КАП. Ознакою об’єктивної сторони хуліганства такі діяння стають з урахуванням місця, часу й обстановки, інших об’єктивних ознак, а також мотивів їх вчинення.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Кримінальне караним є </w:t>
      </w:r>
      <w:r>
        <w:rPr>
          <w:i/>
          <w:iCs/>
          <w:sz w:val="28"/>
          <w:szCs w:val="28"/>
        </w:rPr>
        <w:t xml:space="preserve">грубе </w:t>
      </w:r>
      <w:r>
        <w:rPr>
          <w:sz w:val="28"/>
          <w:szCs w:val="28"/>
        </w:rPr>
        <w:t>порушення громадського порядку. Грубість порушення громадського порядку визначається з урахуванням місця вчинення хуліганських дій, їх тривалості, кількості і характеристики потерпілих, ступеня порушення їхніх прав та законних інтересів тощо. Таким чином, грубе порушення громадського порядку має місце тоді, коли йому заподіюється істотна шкода, коли хуліганство пов’язане з посяганням на інші правоохоронювані цінності, задля збереження яких підтримується громадський порядок, коли це зачіпає важливі інтереси чи інтереси багатьох осіб, коли відновлення порядку вимагає значних, тривалих зусиль.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3. Суб’єктом хуліганства є осудна особа, яка досягла 14-річного віку.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4. Суб’єктивна сторона хуліганства характеризується умисною виною і мотивом явної неповаги до суспільства. Неповага до </w:t>
      </w:r>
      <w:r>
        <w:rPr>
          <w:i/>
          <w:iCs/>
          <w:sz w:val="28"/>
          <w:szCs w:val="28"/>
        </w:rPr>
        <w:t xml:space="preserve">суспільства — </w:t>
      </w:r>
      <w:r>
        <w:rPr>
          <w:sz w:val="28"/>
          <w:szCs w:val="28"/>
        </w:rPr>
        <w:t xml:space="preserve">це прагнення показати свою зневагу до існуючих правил і норм поведінки в суспільстві, самоутвердитися за рахунок приниження інших осіб, протиставити себе іншим громадянам, суспільству, державі. Вказана неповага має бути </w:t>
      </w:r>
      <w:r>
        <w:rPr>
          <w:i/>
          <w:iCs/>
          <w:sz w:val="28"/>
          <w:szCs w:val="28"/>
        </w:rPr>
        <w:t xml:space="preserve">явною. </w:t>
      </w:r>
      <w:r>
        <w:rPr>
          <w:sz w:val="28"/>
          <w:szCs w:val="28"/>
        </w:rPr>
        <w:t>Це означає, що неповага до суспільства є очевидною, безсумнівною як для хулігана, так і для очевидців його дій.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5. Кваліфікований вид хуліганства (ч. 2 ст. 296) наявний, коли дії, передбачені ч. 1 ст. 296, вчинено групою осіб. Про поняття вчинення злочину групою </w:t>
      </w:r>
      <w:r>
        <w:rPr>
          <w:i/>
          <w:iCs/>
          <w:sz w:val="28"/>
          <w:szCs w:val="28"/>
        </w:rPr>
        <w:t xml:space="preserve">осіб </w:t>
      </w:r>
      <w:r>
        <w:rPr>
          <w:sz w:val="28"/>
          <w:szCs w:val="28"/>
        </w:rPr>
        <w:t>див. ст. 28 і коментар до неї.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Особливо кваліфікованими видами хуліганства є: 1) вчинення його особою, раніше судимою за хуліганство; 2) хуліганство, пов’язане з опором представникові влади або представникові громадськості/який виконує обов’язки з охорони громадського порядку, чи іншим громадянам, які припиняли хуліганські дії (ч. З ст. 296); 3) вчинення його із застосуванням вогнепальної або холодної зброї чи іншого предмета, спеціально пристосованого або заздалегідь заготовленого для нанесення тілесних ушкоджень (ч. 4 ст. 296).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Особа, раніше судима за хулігансЬІво, — це особа, яка має непогашену чи незняту судимість за вчинення злочину, передбаченого ст. 296 КК 2001 р., або злочину, передбаченого ст. 206 КК 1960 р.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поняття </w:t>
      </w:r>
      <w:r>
        <w:rPr>
          <w:i/>
          <w:iCs/>
          <w:sz w:val="28"/>
          <w:szCs w:val="28"/>
        </w:rPr>
        <w:t xml:space="preserve">опору </w:t>
      </w:r>
      <w:r>
        <w:rPr>
          <w:sz w:val="28"/>
          <w:szCs w:val="28"/>
        </w:rPr>
        <w:t xml:space="preserve">див. коментар до ст. 342, про поняття </w:t>
      </w:r>
      <w:r>
        <w:rPr>
          <w:i/>
          <w:iCs/>
          <w:sz w:val="28"/>
          <w:szCs w:val="28"/>
        </w:rPr>
        <w:t xml:space="preserve">застосування зброї— </w:t>
      </w:r>
      <w:r>
        <w:rPr>
          <w:sz w:val="28"/>
          <w:szCs w:val="28"/>
        </w:rPr>
        <w:t>коментар до ст. 146, а про поняття вогнепальної та холодної” зброї— коментар до ст. ст. 262, 263, 410.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Предметами, спеціально пристосованими або </w:t>
      </w:r>
      <w:r>
        <w:rPr>
          <w:sz w:val="28"/>
          <w:szCs w:val="28"/>
        </w:rPr>
        <w:t xml:space="preserve">заздалегідь заготовленими </w:t>
      </w:r>
      <w:r>
        <w:rPr>
          <w:i/>
          <w:iCs/>
          <w:sz w:val="28"/>
          <w:szCs w:val="28"/>
        </w:rPr>
        <w:t xml:space="preserve">для нанесення тілесних ушкоджень, </w:t>
      </w:r>
      <w:r>
        <w:rPr>
          <w:sz w:val="28"/>
          <w:szCs w:val="28"/>
        </w:rPr>
        <w:t>є будь-які речі, що не належать до зброї, які видозмінені чи спеціально знаходилися у винного з метою завдання тілесних ушкоджень під час хуліганства (металевий прут, камінь, розбита пляшка тощо). Такі предмети можуть пристосовуватися із вказаною метою і в ході хуліганства. Водночас аналізована ознака відсутня, якщо під час хуліганства використовуються предмети, які підібрані на місці вчинення злочину і при цьому не пристосовувалися для заподіяння тілесних ушкоджень.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Постанова ПВС № 3 від 28 червня 1991 р. “Про судову практику в справах про хуліганство”.</w:t>
      </w:r>
    </w:p>
    <w:p w:rsidR="00892377" w:rsidRDefault="00F53DE3">
      <w:pPr>
        <w:pStyle w:val="4"/>
        <w:spacing w:before="0" w:after="0" w:line="360" w:lineRule="auto"/>
        <w:ind w:left="720" w:hanging="720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892377" w:rsidRDefault="00F53DE3">
      <w:pPr>
        <w:pStyle w:val="4"/>
        <w:spacing w:before="0" w:after="0" w:line="360" w:lineRule="auto"/>
        <w:ind w:left="720" w:hanging="720"/>
        <w:jc w:val="both"/>
      </w:pPr>
      <w:r>
        <w:t xml:space="preserve"> Наруга над могилою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Наруга над могилою, іншим місцем поховання, над трупом або урною з прахом покійного, а також викрадення предметів, що знаходяться в місці поховання або на трупі, — 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караються штрафом до ста неоподатковуваних мінімумів доходів громадян або арештом на строк до шести місяців, або обмеженням волі на строк до трьох років, або позбавленням волі на той самий строк.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1. Об’єкт злочину — моральні засади суспільства в частині поваги до померлих та місць ‘їхнього поховання. Цей злочин заподіює моральну шкоду насамперед рідним і близьким померлих, порушує громадський спокій, може викликати міжетнічні та міжконфесійні конфлікти, негативно впливає на виховання підлітків. Ставлення до померлих чи не найбільш яскраво показує різницю між цивілізацією і дикістю, в ньому відображається і ставлення особи до інших соціальних цінностей.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 Предметами злочину є: 1) могила; 2) інше місце поховання; 3) труп; 4) урна з прахом; 5) предмети, що знаходяться в місці поховання або на трупі.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Могила включає яму для поховання тіла померлого, а також насип, споруди (хрест, стела, камінь) над місцем поховання. </w:t>
      </w:r>
      <w:r>
        <w:rPr>
          <w:i/>
          <w:iCs/>
          <w:sz w:val="28"/>
          <w:szCs w:val="28"/>
        </w:rPr>
        <w:t xml:space="preserve">Інше місце поховання — </w:t>
      </w:r>
      <w:r>
        <w:rPr>
          <w:sz w:val="28"/>
          <w:szCs w:val="28"/>
        </w:rPr>
        <w:t xml:space="preserve">це склеп, мавзолей, меморіальна стіна з прахом померлих, частина шахти, корабель чи літак з тілами загиблих тощо. </w:t>
      </w:r>
      <w:r>
        <w:rPr>
          <w:i/>
          <w:iCs/>
          <w:sz w:val="28"/>
          <w:szCs w:val="28"/>
        </w:rPr>
        <w:t xml:space="preserve">Труп — </w:t>
      </w:r>
      <w:r>
        <w:rPr>
          <w:sz w:val="28"/>
          <w:szCs w:val="28"/>
        </w:rPr>
        <w:t xml:space="preserve">це тіло померлого, як ціле, так і розчленоване, чи його окремі частини. Труп виступає предметом злочину незалежно від його стану (“свіжий”, бальзамований, муміфікований). Під </w:t>
      </w:r>
      <w:r>
        <w:rPr>
          <w:i/>
          <w:iCs/>
          <w:sz w:val="28"/>
          <w:szCs w:val="28"/>
        </w:rPr>
        <w:t xml:space="preserve">урною з прахом покійного </w:t>
      </w:r>
      <w:r>
        <w:rPr>
          <w:sz w:val="28"/>
          <w:szCs w:val="28"/>
        </w:rPr>
        <w:t xml:space="preserve">розуміється посудина, звичайно у формі вази, для зберігання праху померлого, який піддано спаленню, або ж праху, зібраного на місці давнього поховання. </w:t>
      </w:r>
      <w:r>
        <w:rPr>
          <w:i/>
          <w:iCs/>
          <w:sz w:val="28"/>
          <w:szCs w:val="28"/>
        </w:rPr>
        <w:t xml:space="preserve">Предмети, що знаходяться в місці поховання або на трупі, — </w:t>
      </w:r>
      <w:r>
        <w:rPr>
          <w:sz w:val="28"/>
          <w:szCs w:val="28"/>
        </w:rPr>
        <w:t>це будь-які речі, які перебувають в могилі чи на ній, в іншому місці поховання (одяг, індивідуальні речі та прикраси, ордени і медалі, труна, вінки, світильники, вази тощо).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3. Об’єктивна сторона </w:t>
      </w:r>
      <w:r>
        <w:rPr>
          <w:sz w:val="28"/>
          <w:szCs w:val="28"/>
        </w:rPr>
        <w:t>злочину проявляється у: 1) нарузі над могилою, іншим місцем поховання, над трупом або урною з прахом покійного; 2) викраденні предметів, що знаходяться в місці поховання або на трупі.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</w:rPr>
        <w:t xml:space="preserve">Наруга — </w:t>
      </w:r>
      <w:r>
        <w:rPr>
          <w:sz w:val="28"/>
          <w:szCs w:val="28"/>
        </w:rPr>
        <w:t>це образливе ставлення, грубе знущання, демонстрація зневаги до місця поховання чи праху покійного. Способи вчинення наруги в законів не визначені. Це можуть бути: осквернення, ут.ч. шляхом вчинення непристойних надписів, малюнків, виливання нечистот; руйнування надмогильних споруд; розкопування місця поховання, розчленування трупа чи його знищення, зривання одягу. Наруга характеризується як об’єктивним моментом — вчиненням щодо праху чи місця поховання певних діянь, так і суб’єктивним — прагненням зневажити пам’ять про померлого, продемонструвати своє негативне ставлення до суспільних принципів, які панують в цій сфері. Наруга переважно вчиняється шляхом дії. Однак не можна виключати ії вчинення і через бездіяльність, наприклад, невтручання в поведінку свійських тварин, які, наприклад, розривають могилу, справляють на ній природні потреби.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</w:rPr>
        <w:t xml:space="preserve">Викрадення </w:t>
      </w:r>
      <w:r>
        <w:rPr>
          <w:sz w:val="28"/>
          <w:szCs w:val="28"/>
        </w:rPr>
        <w:t>відповідних предметів — це протиправне їх вилучення і звернення на свою користь чи користь інших осіб. Сюди належать, зокрема, демонтаж і наступний продаж могильних загорож, пам’ятників, плит, а також вінків, квітів, лампад, які знаходяться на могилі.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Діяння, передбачене ст. 297, відсутнє, якщо у встановленому порядку здійснюються ексгумація трупа, перенесення могили на інше місце, впорядкування місця поховання, а також якщо певні дії з трупом не становлять собою наруги (наприклад, мотивом розчленування трупа є приховування вчиненого вбивства).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Момент закінчення злочину визначається з врахуванням змісту вчинюваного діяння. Якщо воно полягає у нарузі, то закінченим цей злочин є відтоді, коли виконане діяння достатньо вказує на наявність її об’єктивних і суб’єктивних ознак. Коли ж діяння виражається у викраденні, то злочин закінчений з моменту набуття винним можливості розпорядитися викраденим на власний розсуд (сховати, продати, подарувати тощо).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4. Суб’єкт злочину загальний.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5. Суб’єктивна сторона аналізованого злочину характеризується умислом.</w:t>
      </w:r>
    </w:p>
    <w:p w:rsidR="00892377" w:rsidRDefault="00F53DE3">
      <w:pPr>
        <w:pStyle w:val="5"/>
        <w:spacing w:before="0" w:after="0" w:line="360" w:lineRule="auto"/>
        <w:ind w:left="720" w:hanging="720"/>
        <w:jc w:val="both"/>
        <w:rPr>
          <w:i w:val="0"/>
          <w:iCs w:val="0"/>
          <w:sz w:val="28"/>
          <w:szCs w:val="28"/>
          <w:lang w:val="ru-RU"/>
        </w:rPr>
      </w:pPr>
      <w:r>
        <w:rPr>
          <w:i w:val="0"/>
          <w:iCs w:val="0"/>
          <w:sz w:val="28"/>
          <w:szCs w:val="28"/>
          <w:lang w:val="ru-RU"/>
        </w:rPr>
        <w:t xml:space="preserve"> </w:t>
      </w:r>
    </w:p>
    <w:p w:rsidR="00892377" w:rsidRDefault="00F53DE3">
      <w:pPr>
        <w:pStyle w:val="5"/>
        <w:spacing w:before="0" w:after="0" w:line="360" w:lineRule="auto"/>
        <w:ind w:left="720" w:hanging="720"/>
        <w:jc w:val="both"/>
        <w:rPr>
          <w:i w:val="0"/>
          <w:iCs w:val="0"/>
          <w:sz w:val="28"/>
          <w:szCs w:val="28"/>
          <w:lang w:val="ru-RU"/>
        </w:rPr>
      </w:pPr>
      <w:r>
        <w:rPr>
          <w:i w:val="0"/>
          <w:iCs w:val="0"/>
          <w:sz w:val="28"/>
          <w:szCs w:val="28"/>
        </w:rPr>
        <w:t xml:space="preserve"> Нищення, руйнування чи псування пам’яток історії або культури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 Умисне нищення, руйнування чи псування пам’яток історії або культури —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караються штрафом до ста неоподатковуваних мінімумів доходів громадян або обмеженням волі на строк до трьох років.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 Ті самі дії, вчинені щодо об’єктів, які е особливою історичною або культурною цінністю,—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караються позбавленням волі на строк від двох до п’яти років.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3. Діяння, передбачені частинами першою або другою цієї статті, вчинені службовою особою з використанням службового становища,—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караються позбавленням волі на строк від трьох до восьми років.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1. Основний безпосередній </w:t>
      </w:r>
      <w:r>
        <w:rPr>
          <w:b/>
          <w:bCs/>
          <w:sz w:val="28"/>
          <w:szCs w:val="28"/>
        </w:rPr>
        <w:t xml:space="preserve">об’єкт </w:t>
      </w:r>
      <w:r>
        <w:rPr>
          <w:sz w:val="28"/>
          <w:szCs w:val="28"/>
        </w:rPr>
        <w:t>злочину — моральні засади суспільства в частині ставлення до історичних та культурних цінностей. Його додатковим обов’язковим об’єктом є право власності.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2. Предметом </w:t>
      </w:r>
      <w:r>
        <w:rPr>
          <w:sz w:val="28"/>
          <w:szCs w:val="28"/>
        </w:rPr>
        <w:t>злочину є пам’ятки історії або культури.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Пам’ятками </w:t>
      </w:r>
      <w:r>
        <w:rPr>
          <w:i/>
          <w:iCs/>
          <w:sz w:val="28"/>
          <w:szCs w:val="28"/>
        </w:rPr>
        <w:t xml:space="preserve">історії або культури </w:t>
      </w:r>
      <w:r>
        <w:rPr>
          <w:sz w:val="28"/>
          <w:szCs w:val="28"/>
        </w:rPr>
        <w:t>є предмети, які характеризуються такими рисами. Вони: а) є матеріальними об’єктами (споруди (витвори), комплекси (ансамблі), визначні місця), які належать до археологічних, історичних, монументального мистецтва, архітектури та містобудування, садово-паркового мистецтва, ландшафтних видів культурної спадщини,— будинки, укріплення, мости, залишки стародавніх поселень, місця битв, предмети одягу, ритуальні речі, зброя, статуї, письмові акти, кіно-, фотодокументи, звукозаписи тощо; б) становлять собою художню, історичну, етнографічну, наукову чи іншу культурну цінність; в) взяті державою під спеціальну охорону, свідченням чого є рішення компетентного органу (щодо нерухомих пам’яток — це рішення про занесення до Державного реєстру нерухомих пам’яток України, Державного реєстру національного культурного надбання), а також охоронні знаки, встановлені на самих об’єктах чи поблизу них.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3. Об’єктивна сторона </w:t>
      </w:r>
      <w:r>
        <w:rPr>
          <w:sz w:val="28"/>
          <w:szCs w:val="28"/>
        </w:rPr>
        <w:t>аналізованого злочину як обов’язкові ознаки включає діяння, наслідки та причинний зв’язок між ними.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Діяння при вчиненні цього злочину вчиняється шляхом дії або бездіяльності, які полягають у внесенні в пам’ятку історії або культури негативних змін, внаслідок .яких зменшується чи втрачається їх художня, історична, етнографічна, наукова чи інша цінність — відбувається їх нищення, руйнування чи псування. Спосіб вчинення діяння в КК не вказаний. Це можуть бути підпал, затоплення, розрізання, здійснення вибуху, потрава худобою і т.п.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Наслідки цього злочину в диспозиції ст. 298 позначені тими ж термінами, що й діяння. Це: 1) нищення пам’яток історії або культури, тобто приведення їх до такого стану, коли об’єкт неможливо відновити, повністю втрачається його цінність; 2) руйнування — заподіяння значних ушкоджень, через що пам’ятка втрачає свою цінність, але може бути відновлена; 3) псування, яке означає зменшення історичної, культурної та іншої цінності пам’ятки.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При встановленні наслідків цього злочину першочергове значення має не розмір матеріальної шкоди, витрат на відновлення зруйнованого або зіпсованого, а шкода історичного або культурного характеру.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Злочин є закінченим з моменту початку нищення, руйнування чи псування пам’яток історії або культури.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4. Суб’єкт злочину, передбаченого ч. 1 та ч. 2 ст. 298, загальний. За ч. З ст- 298 відповідальність несе службова особа, яка діє з використанням службового становища. Про поняття </w:t>
      </w:r>
      <w:r>
        <w:rPr>
          <w:i/>
          <w:iCs/>
          <w:sz w:val="28"/>
          <w:szCs w:val="28"/>
        </w:rPr>
        <w:t xml:space="preserve">службової особи </w:t>
      </w:r>
      <w:r>
        <w:rPr>
          <w:sz w:val="28"/>
          <w:szCs w:val="28"/>
        </w:rPr>
        <w:t xml:space="preserve">і використання службового становища див. Загальні положення до розділу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Особливі частини КК, ст. 364 і коментар до неї.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5. Суб’єктивна сторона </w:t>
      </w:r>
      <w:r>
        <w:rPr>
          <w:sz w:val="28"/>
          <w:szCs w:val="28"/>
        </w:rPr>
        <w:t>злочину характеризується умисною виною. При доведенні умислу важливо встановити, що винний знав про те, що відповідний об’єкт є пам’яткою історії або культури.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6. Кваліфікуючою ознакою </w:t>
      </w:r>
      <w:r>
        <w:rPr>
          <w:sz w:val="28"/>
          <w:szCs w:val="28"/>
        </w:rPr>
        <w:t>злочину є вчинення його щодо об’єктів, які є особливою історичною або культурною цінністю, а осо-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бливо кваліфікуючою — вчинення його службовою особою з використанням службового становища.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До об’єктів, які є </w:t>
      </w:r>
      <w:r>
        <w:rPr>
          <w:i/>
          <w:iCs/>
          <w:sz w:val="28"/>
          <w:szCs w:val="28"/>
        </w:rPr>
        <w:t xml:space="preserve">особливою історичною або культурною цінністю, </w:t>
      </w:r>
      <w:r>
        <w:rPr>
          <w:sz w:val="28"/>
          <w:szCs w:val="28"/>
        </w:rPr>
        <w:t>належать предмети, в установленому порядку віднесені до пам’яток культури національного значення.</w:t>
      </w:r>
    </w:p>
    <w:p w:rsidR="00892377" w:rsidRDefault="00F53DE3">
      <w:pPr>
        <w:pStyle w:val="a3"/>
        <w:spacing w:line="360" w:lineRule="auto"/>
        <w:ind w:left="720" w:hanging="720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</w:rPr>
        <w:t>Основи законодавства України про культуру від І4 лютого 1992р.</w:t>
      </w:r>
    </w:p>
    <w:p w:rsidR="00892377" w:rsidRDefault="00F53DE3">
      <w:pPr>
        <w:pStyle w:val="a3"/>
        <w:spacing w:line="360" w:lineRule="auto"/>
        <w:ind w:left="720" w:hanging="720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</w:rPr>
        <w:t>Закон України ‘Про охорону культурної спадщини” від 8 червня 2000 р.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i/>
          <w:sz w:val="28"/>
          <w:szCs w:val="28"/>
          <w:lang w:val="ru-RU"/>
        </w:rPr>
      </w:pPr>
      <w:r>
        <w:rPr>
          <w:i/>
          <w:iCs/>
          <w:sz w:val="28"/>
          <w:szCs w:val="28"/>
        </w:rPr>
        <w:t>Положення про державний реєстр національного культурного надбання. Затверджене постановою КМ</w:t>
      </w:r>
      <w:r>
        <w:rPr>
          <w:i/>
          <w:sz w:val="28"/>
          <w:szCs w:val="28"/>
        </w:rPr>
        <w:t xml:space="preserve"> №466 від 12 серпня 1992 р.</w:t>
      </w:r>
    </w:p>
    <w:p w:rsidR="00892377" w:rsidRDefault="00F53DE3">
      <w:pPr>
        <w:pStyle w:val="a4"/>
        <w:spacing w:after="0" w:line="360" w:lineRule="auto"/>
        <w:ind w:left="720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Положення про порядок визначення наукових об’єктів, що становлять національне надбання. Затверджене постановою КМ № 174 від 18 лютого 1997р.</w:t>
      </w:r>
    </w:p>
    <w:p w:rsidR="00892377" w:rsidRDefault="00892377">
      <w:bookmarkStart w:id="0" w:name="_GoBack"/>
      <w:bookmarkEnd w:id="0"/>
    </w:p>
    <w:sectPr w:rsidR="00892377">
      <w:type w:val="continuous"/>
      <w:pgSz w:w="11907" w:h="16840" w:code="9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DE3"/>
    <w:rsid w:val="00892377"/>
    <w:rsid w:val="00D15CD7"/>
    <w:rsid w:val="00F5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4F144-CBD9-4AAC-A17A-033385DE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paragraph" w:styleId="5">
    <w:name w:val="heading 5"/>
    <w:basedOn w:val="a"/>
    <w:next w:val="a"/>
    <w:qFormat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pPr>
      <w:widowControl w:val="0"/>
      <w:autoSpaceDE w:val="0"/>
      <w:autoSpaceDN w:val="0"/>
      <w:adjustRightInd w:val="0"/>
      <w:ind w:left="283" w:hanging="283"/>
    </w:pPr>
    <w:rPr>
      <w:sz w:val="20"/>
      <w:szCs w:val="20"/>
      <w:lang w:val="uk-UA" w:eastAsia="uk-UA"/>
    </w:rPr>
  </w:style>
  <w:style w:type="paragraph" w:styleId="a4">
    <w:name w:val="Body Text"/>
    <w:basedOn w:val="a"/>
    <w:semiHidden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Право. Міжнародні відносини</Manager>
  <Company> Право. Міжнародні відносини</Company>
  <LinksUpToDate>false</LinksUpToDate>
  <CharactersWithSpaces>13982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2014-05-26T21:29:00Z</dcterms:created>
  <dcterms:modified xsi:type="dcterms:W3CDTF">2014-05-26T21:29:00Z</dcterms:modified>
  <cp:category>Право. Міжнародні відносини</cp:category>
</cp:coreProperties>
</file>