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B9" w:rsidRDefault="00615BB9" w:rsidP="003F14FD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3E6F" w:rsidRDefault="00783BAF" w:rsidP="003F14FD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14FD">
        <w:rPr>
          <w:rFonts w:ascii="Times New Roman" w:hAnsi="Times New Roman"/>
          <w:b/>
          <w:sz w:val="28"/>
          <w:szCs w:val="28"/>
        </w:rPr>
        <w:t>Введение</w:t>
      </w:r>
    </w:p>
    <w:p w:rsidR="003F14FD" w:rsidRPr="003F14FD" w:rsidRDefault="003F14FD" w:rsidP="003F14FD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Интенсификация процессов перехода к социально-рыночному типу региональной политики, ориентированному на ускорение темпов и повышение качества экономического роста осуществляется за счет использования собственного природно-ресурсного, производственного и бюджетно-финансового потенциала. В настоящее время отсутствует действенный механизм распределения ресурсов всех видов между субъектами хозяйствования региона.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Доминирующей функцией управления социально-экономическим развитием региона в данных условиях является активизация деятельности региональных хозяйственных комплексов, обеспечивающих развитие природно-ресурсного потенциала.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Важнейшей задачей дальнейшего развития экономики региона является применение наиболее эффективных организационных форм комплексного использования природно-территориального потенциала с учетом принципов экологического воспроизводства. Особенно важным представляется определение оптимального баланса между возобновлением и использованием ресурсов, обусловливающего структурные соотношения в экономике региона и обеспечивающего реализацию функции воспроизводства территориальных ресурсов.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Успешное развитие экономики региона определяется эффективностью репродуктивного функционирования всех ее структурных составляющих. Стратегические приоритеты рыночной модели развития экономики региона обусловливаются необходимостью совершенствования механизмов поддержки природно-ресурсного потенциала и координации деятельности предприятий этого сектора экономики с целью расширения их участия в межрегиональных и внешнеэкономических связях, обеспечения устойчивого развития региона на российском рынке.</w:t>
      </w:r>
    </w:p>
    <w:p w:rsidR="00783BAF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Для выбора экономически обоснованных направлений развития природно-ресурсной базы региона целесообразно применение одноступенчатой динамической модели оптимизации принятия решений при синхронном инвестиционно-финансовом планировании, позволяющей определить наиболее эффективные инвестиционные проекты предприятий региона и рассчитать максимальную стоимость их капитала.</w:t>
      </w: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Pr="00313BAE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FD" w:rsidRDefault="003F14FD" w:rsidP="003F14FD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14FD">
        <w:rPr>
          <w:rFonts w:ascii="Times New Roman" w:hAnsi="Times New Roman"/>
          <w:b/>
          <w:sz w:val="28"/>
          <w:szCs w:val="28"/>
        </w:rPr>
        <w:t>Модель функционирования экономики региона.</w:t>
      </w:r>
    </w:p>
    <w:p w:rsidR="003F14FD" w:rsidRPr="003F14FD" w:rsidRDefault="003F14FD" w:rsidP="003F14FD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Моделирование является одним из важнейших методов исследований во многих отраслях современной науки. Развитие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региональной экономики как науки на протяжении уже почти двух столетий характеризуется последовательным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проникновением математических моделей в исследования проблем регионов, размещения деятельности региональных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систем, пространственной структуры экономики.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Для ряда научных школ в региональной экономике исследование моделей является главным способом получения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теоретических знаний. Создаются модели для новых теорий, проводится модернизация классических теорий региональной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экономики посредством их выражения на языке современной математики.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Математические модели широко используются при решении практических проблем управления экономикой региона: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при построении региональных типологий, региональном ситуационном анализе, разработке прогнозов, имитации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последствий осуществления социально-экономических мероприятий на региональном уровне, обоснованиях параметров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финансово-экономических механизмов и др. Сфера эффективного применения математического моделирования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ограничивается, главным образом, возможностями формализации социально-экономических ситуаций и состоянием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информационного обеспечения разработанных моделей.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Рассмотрим основные модели, используемые для описания экономических процессов как на внутреннем, так и навнешнем уровне региональных взаимодействий.</w:t>
      </w: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BAF" w:rsidRPr="00313BAE" w:rsidRDefault="00783BAF" w:rsidP="003F14FD">
      <w:pPr>
        <w:pStyle w:val="a4"/>
        <w:spacing w:before="36"/>
        <w:ind w:firstLine="709"/>
        <w:jc w:val="center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Укрупненная модель функционирования экономики региона.</w:t>
      </w:r>
    </w:p>
    <w:p w:rsidR="003F14FD" w:rsidRDefault="003F14FD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В отличие от моделей, где регион выступает как единый, хотя и структуризованный субъект, в этой модели основное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внимание уделяется механизму экономических отношений между различными субъектами экономики региона.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Рассматриваемая региональная макромодель является определенным компромиссом между сложностью и громоздкостью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описания развитой модели функционирования региона и необходимостью ясного представления основных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взаимоотношений регионального экономического механизма.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Ядро модели функционирования экономики региона, составляют следующие блоки: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производство товаров и рыночных услуг;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производство нерыночных услуг;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население;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государственные доходы и расходы (федерального и регионального бюджетов, внебюджетных фондов);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основные балансовые соотношения;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• индикаторы социально-экономического развития региона.</w:t>
      </w:r>
    </w:p>
    <w:p w:rsidR="00783BAF" w:rsidRPr="003F14FD" w:rsidRDefault="00783BAF" w:rsidP="003F14FD">
      <w:pPr>
        <w:pStyle w:val="a4"/>
        <w:numPr>
          <w:ilvl w:val="0"/>
          <w:numId w:val="3"/>
        </w:numPr>
        <w:spacing w:before="36"/>
        <w:jc w:val="both"/>
        <w:rPr>
          <w:rFonts w:ascii="Times New Roman" w:hAnsi="Times New Roman"/>
          <w:i/>
          <w:sz w:val="28"/>
          <w:szCs w:val="28"/>
        </w:rPr>
      </w:pPr>
      <w:r w:rsidRPr="003F14FD">
        <w:rPr>
          <w:rFonts w:ascii="Times New Roman" w:hAnsi="Times New Roman"/>
          <w:i/>
          <w:sz w:val="28"/>
          <w:szCs w:val="28"/>
        </w:rPr>
        <w:t xml:space="preserve"> Производство товаров и рыночных услуг.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Блок производства. В модели используются "классические" производственные функции, показывающие зависимости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объемов выпусков от факторов производства (функции Кобба – Дугласа):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Xt = Ftx (Ltx, Фtx),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где Xt – объемы выпуска товаров и рыночных услуг в постоянных основных ценах; Ltx – численность занятых; Фtx – объем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основных производственных фондов.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Динамика основных фондов определяется их начальным объемом, вводом и выбытием: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Фx(t + 1) = (1 – Rxt)Фxt + ∆Фxt,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ГДЕ RXT – КОЭФФИЦИЕНТ ВЫБЫТИЯ ОСНОВНЫХ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ФОНДОВ; ∆ФXT – ВВОД ФОНДОВ В ТЕКУЩЕМ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ПЕРИОДЕ.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Ввод фондов определяется освоенными инвестициями предыдущего периода: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∆Фxt = Ix(t – 1).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Общий объем инвестиций обеспечивается собственными возможностями производителей (ISxt), расходами на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инвестиции регионального бюджета (IRxt), федерального бюджета (IFxt), заемными средствами (IZxt):</w:t>
      </w:r>
    </w:p>
    <w:p w:rsidR="00783BAF" w:rsidRPr="0001097B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01097B">
        <w:rPr>
          <w:rFonts w:ascii="Times New Roman" w:hAnsi="Times New Roman"/>
          <w:sz w:val="28"/>
          <w:szCs w:val="28"/>
          <w:lang w:val="en-US"/>
        </w:rPr>
        <w:t>Ixt = ISxt + IRxt + IFxt + IZxt.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01097B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313BAE">
        <w:rPr>
          <w:rFonts w:ascii="Times New Roman" w:hAnsi="Times New Roman"/>
          <w:sz w:val="28"/>
          <w:szCs w:val="28"/>
        </w:rPr>
        <w:t>Блок финансовых результатов. Основным финансовым результатом является прибыль (убыток) от реализации товаров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и услуг: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PRxt = Рxt Xt (1 – Mxt) – Ax Фxt – Zxt Lxt (1 + Nxt).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где Рxt – индекс роста основных цен; Мxt – удельные материальные затраты; Ax – норма амортизации основных фондов; Zxt –средняя заработная плата; Nxt – начисления на заработную плату.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Уравнение распределения прибыли включает налоги на прибыль NIxt, расходы на непроизводственное потребление PPxt,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на инвестиции в основные фонды для производства товаров и рыночных услуг (собственные инвестиции) ISxt, на инвестиции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для производства нерыночных услуг (на развитие ведомственной социальной инфраструктуры) IXyt:</w:t>
      </w:r>
    </w:p>
    <w:p w:rsidR="00783BAF" w:rsidRPr="0001097B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01097B">
        <w:rPr>
          <w:rFonts w:ascii="Times New Roman" w:hAnsi="Times New Roman"/>
          <w:sz w:val="28"/>
          <w:szCs w:val="28"/>
          <w:lang w:val="en-US"/>
        </w:rPr>
        <w:t>PRxt = NIxt + PPxt + ISxt + IXyt.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01097B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Pr="003F14FD">
        <w:rPr>
          <w:rFonts w:ascii="Times New Roman" w:hAnsi="Times New Roman"/>
          <w:i/>
          <w:sz w:val="28"/>
          <w:szCs w:val="28"/>
        </w:rPr>
        <w:t>2 Производство нерыночных услуг</w:t>
      </w:r>
      <w:r w:rsidRPr="00313BAE">
        <w:rPr>
          <w:rFonts w:ascii="Times New Roman" w:hAnsi="Times New Roman"/>
          <w:sz w:val="28"/>
          <w:szCs w:val="28"/>
        </w:rPr>
        <w:t>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Блок производства. Его структура аналогична блоку производства товаров и рыночных услуг (Yt – объем выпуска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нерыночных услуг):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Yt = Fyt(Lyt, Фyt);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Фy(t + 1) = Ry Фyt + ∆Фyt;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∆Фyt = Iy(t – 1);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Iyt = IRyt + IFyt + IXyt + IHyt + IZyt.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В состав источников финансирования инвестиций добавляются средства населения на строительство жилья IHyt.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Блок финансовых результатов. Его основное тождество – равенство полных доходов и расходов на производство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нерыночных услуг Dyt = Ryt.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Доходы формируются из средств федерального и регионального бюджетов (RFyt, RRyt), ведомственных источников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(RXyt) и заемных средств (RZyt):</w:t>
      </w:r>
    </w:p>
    <w:p w:rsidR="00783BAF" w:rsidRPr="0001097B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1097B">
        <w:rPr>
          <w:rFonts w:ascii="Times New Roman" w:hAnsi="Times New Roman"/>
          <w:sz w:val="28"/>
          <w:szCs w:val="28"/>
          <w:lang w:val="en-US"/>
        </w:rPr>
        <w:t>Dyt = RFyt + RRyt + RXyt + RZyt.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01097B">
        <w:rPr>
          <w:rFonts w:ascii="Times New Roman" w:hAnsi="Times New Roman"/>
          <w:i/>
          <w:sz w:val="28"/>
          <w:szCs w:val="28"/>
          <w:lang w:val="en-US"/>
        </w:rPr>
        <w:t xml:space="preserve">     </w:t>
      </w:r>
      <w:r w:rsidRPr="003F14FD">
        <w:rPr>
          <w:rFonts w:ascii="Times New Roman" w:hAnsi="Times New Roman"/>
          <w:i/>
          <w:sz w:val="28"/>
          <w:szCs w:val="28"/>
        </w:rPr>
        <w:t>3 Население</w:t>
      </w:r>
      <w:r w:rsidRPr="00313BAE">
        <w:rPr>
          <w:rFonts w:ascii="Times New Roman" w:hAnsi="Times New Roman"/>
          <w:sz w:val="28"/>
          <w:szCs w:val="28"/>
        </w:rPr>
        <w:t>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Для каждого года строятся три типа балансов: баланс населения, баланс трудовых ресурсов, баланс денежных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 xml:space="preserve">     доходов и расходов.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Баланс населения. Он основан на движении трех возрастных групп: в дотрудоспособном возрасте (H1t), 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трудоспособном возрасте (H2t), в послетрудоспособном возрасте (H3t). Учитываются естественное и механическое движение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населения.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Обозначения: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Rjt – коэффициент дожития для j-й группы населения, j = 1, 2, 3;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∆Ht – сальдо внешней миграции для j-й группы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∆H – сальдо внешней миграции в целом для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Гt – интенсивность внешней миграции;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Sj – возрастная структура мигрантов, j =1, 2, 3.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Основные соотношения: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∆Ht = Ht Гt;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∆Hjt = Sjt ∆Ht;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Hj(t + 1) = Rjt Hjt + ∆Hjt;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H(t + 1) = H1(t + 1) + H2(t + 1) + H3(t + 3).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Баланс трудовых ресурсов. Численность трудовых ресурсов определяется численностью трудоспособных 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трудоспособном возрасте с поправкой на работающих пенсионеров. Расходная часть баланса – это численность занятых.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Показатель численности лиц, незанятых никаким видом деятельности, является расчетным. Этот показатель,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пронормированный к численности экономически активного населения, включен в основные индикаторы оценки варианта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развития региона. Обозначения: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Пht – доля нетрудоспособных в трудоспособном населении;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Дzt – доля прочего занятого населения в общей его численности;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Пnt – доля работающих пенсионеров в общей численности пенсионеров;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Lzt – численность прочего занятого населения (учащиеся в трудоспособном возрасте, домохозяйки и т.д.);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Hnt – численность пенсионеров;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Нpt – численность работающих пенсионеров;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Нat – численность экономически активного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ЧTt – численность незанятого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Uht – уровень безработицы по отношению к численности экономически активного населения.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Соотношения: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численность пенсионеров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Hnt = H3t + Пht;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численность работающих пенсионеров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Hpt = Пnt Hnt;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численность лиц, не занятых никакой деятельностью (или дефицит баланса трудовых ресурсов)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ЧTt = (1 – Пnt) H2t + Hpt – Lxt – Lyt – Lzt;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численность экономически активного населения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Нat = Lxt + Lyt + Lzt + ЧTt;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уровень безработицы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Uht = ЧTt / Hat.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Баланс денежных доходов и расходов населения. Основные статьи доходов баланса составляют доходы от трудовой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деятельности, социальные трансферты (пенсии, стипендии, пособия), доходы от денежных вкладов и ценных бумаг, прочие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доходы. В расходах выделяются затраты на оплату товаров и услуг, обязательные платежи, сбережения (денежные вклады,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покупка ценных бумаг и валюты), прочие расходы. Результирующим показателем является превышение доходов над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расходами.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Обозначения: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DHt – общие денежные доходы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RRht, RFht – социальные трансферты из регионального и федерального бюджетов;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DHpt – прочие денежные доходы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Npt – доля прочих доходов в общих доходах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RHt – общие расходы населения;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RTt – расходы на оплату товаров и услуг;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DSt – прирост денежных вкладов и покупка ценных бумаг и валюты (прирост сбережений);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RPt – прочие денежные расходы;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Nrt – доля прочих расходов в общих расходах;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DSBt – доходы от сбережений;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SBt – общая величина сбережений;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Nst – средний процент по вкладам и ценным бумагам.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Соотношения модели: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– величина денежных доходов населения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</w:t>
      </w:r>
      <w:r w:rsidR="003F14FD">
        <w:rPr>
          <w:rFonts w:ascii="Times New Roman" w:hAnsi="Times New Roman"/>
          <w:sz w:val="28"/>
          <w:szCs w:val="28"/>
        </w:rPr>
        <w:t xml:space="preserve">          </w:t>
      </w:r>
      <w:r w:rsidRPr="00313BAE">
        <w:rPr>
          <w:rFonts w:ascii="Times New Roman" w:hAnsi="Times New Roman"/>
          <w:sz w:val="28"/>
          <w:szCs w:val="28"/>
        </w:rPr>
        <w:t>DHt = Zxt Lxt + PPxt + Zyt Lyt + RRht + RFht + DSBt + DHpt;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DSBt = (SBt + DSt) Nst;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– превышение доходов над расходами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∆DHt = DHt – RHt;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– движение сбережений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SB(t + 1) = SBt + DSt – IHyt.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F14FD">
        <w:rPr>
          <w:rFonts w:ascii="Times New Roman" w:hAnsi="Times New Roman"/>
          <w:i/>
          <w:sz w:val="28"/>
          <w:szCs w:val="28"/>
        </w:rPr>
        <w:t xml:space="preserve">      4 Государственные доходы и расходы</w:t>
      </w:r>
      <w:r w:rsidRPr="00313BAE">
        <w:rPr>
          <w:rFonts w:ascii="Times New Roman" w:hAnsi="Times New Roman"/>
          <w:sz w:val="28"/>
          <w:szCs w:val="28"/>
        </w:rPr>
        <w:t>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В данном блоке формируются варианты распределения и использования государственных доходов. В соответствии с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принятыми нормативами налоговых отчислений и неналоговых сборов и их распределения оцениваются доходы бюджетов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(федерального и регионального). Для простоты внебюджетные фонды (и их расходы) рассматриваются как фиксированные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статьи бюджетов. В соответствии с целевыми установками определяется структура бюджетных расходов, оцениваются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степень сбалансированности доходов и расходов и меры по ее повышению.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Налоговые отчисления. Введенных выше показателей модели достаточно для выделения основных налоговых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источников: налога на прибыль (N1), налога на продукты (N2), подоходного налога с физических лиц (N3), налога на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имущество (N4), начислений на фонд оплаты труда (N5), местных налогов и прочих налоговых и неналоговых отчислений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(N6).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Так, например, начисления на фонд оплаты труда при ставке V5t равны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N5t = V5t (Zkt Lxt);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>налог на прибыль при ставке V1t равен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  N1t = V1t Pxt.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Аналогично, по определенным ставкам, рассчитываются другие налоги. Сумма получаемых в регионе налогов и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неналоговых отчислений обозначается как NNt.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Распределение налогов и неналоговых отчислений между региональным и федеральным бюджетами осуществляется в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соответствии с установленными ставками Gkt отчислений в региональный бюджет: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DRkt = Gkt Nkt (k = 1, …, 6).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Таким образом, собственные доходы бюджета региона составят: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DRst =   ∑ ( DR  kt   ) , k = 1, 2, 3, 4, 5, 6.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Региональный бюджет. Совокупные доходы бюджета региона, кроме собственных доходов (DR5t), включают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бюджетные трансферты из федерального бюджета DTrt и заемные средства ZRt: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DRt = DR5t + DTrt + ZRt.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Необходимо различать бюджеты развития и бюджеты функционирования. Определим доходы бюджета развития в доле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An от собственных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доходов регионального бюджета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 DRRt = An DRt.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Их распределение на инвестиции для производства товаров и рыночных услуг (Ixkt) и на производство нерыночных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услуг (Iykt) регулируются параметрами Bxt и Byt: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 Ixkt = Bxt DRRt;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  Iykt = Byt DRRt.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Доходы бюджета функционирования определяются как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                                             DRFt = DRt – DRRt.</w:t>
      </w:r>
    </w:p>
    <w:p w:rsidR="00783BAF" w:rsidRPr="00313BAE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Его расходы в соответствии с параметрически задаваемой агрегированной структурой бюджетных расходов делятся на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расходы на поддержку отраслей экономики, на содержание бюджетной сферы, на социальные трансферты, на погашение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кредитов и оплату процентов по предыдущим заемным ресурсам.</w:t>
      </w:r>
    </w:p>
    <w:p w:rsidR="00783BAF" w:rsidRDefault="00783BAF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13BAE">
        <w:rPr>
          <w:rFonts w:ascii="Times New Roman" w:hAnsi="Times New Roman"/>
          <w:sz w:val="28"/>
          <w:szCs w:val="28"/>
        </w:rPr>
        <w:t xml:space="preserve">         С помощью описанной модели можно изучать процессы и механизмы функционирования, развития и</w:t>
      </w:r>
      <w:r w:rsidR="003F14FD">
        <w:rPr>
          <w:rFonts w:ascii="Times New Roman" w:hAnsi="Times New Roman"/>
          <w:sz w:val="28"/>
          <w:szCs w:val="28"/>
        </w:rPr>
        <w:t xml:space="preserve"> </w:t>
      </w:r>
      <w:r w:rsidRPr="00313BAE">
        <w:rPr>
          <w:rFonts w:ascii="Times New Roman" w:hAnsi="Times New Roman"/>
          <w:sz w:val="28"/>
          <w:szCs w:val="28"/>
        </w:rPr>
        <w:t>регулирования экономики региона.</w:t>
      </w:r>
    </w:p>
    <w:p w:rsid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DBA" w:rsidRPr="00C41326" w:rsidRDefault="00BE0DBA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1326">
        <w:rPr>
          <w:rFonts w:ascii="Times New Roman" w:hAnsi="Times New Roman"/>
          <w:b/>
          <w:sz w:val="28"/>
          <w:szCs w:val="28"/>
        </w:rPr>
        <w:t>Заключение</w:t>
      </w:r>
    </w:p>
    <w:p w:rsid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>В современной рыночной экономике существует немало социально-экономических проблем, неподвластных рынку и</w:t>
      </w:r>
      <w:r w:rsidR="00C41326">
        <w:rPr>
          <w:rFonts w:ascii="Times New Roman" w:hAnsi="Times New Roman"/>
          <w:sz w:val="28"/>
          <w:szCs w:val="28"/>
        </w:rPr>
        <w:t xml:space="preserve"> </w:t>
      </w:r>
      <w:r w:rsidRPr="00BE0DBA">
        <w:rPr>
          <w:rFonts w:ascii="Times New Roman" w:hAnsi="Times New Roman"/>
          <w:sz w:val="28"/>
          <w:szCs w:val="28"/>
        </w:rPr>
        <w:t xml:space="preserve">требующих  государственного  вмешательства.  Строго  говоря,  понятия  "рыночная  экономика"  или  "рыночная  система" абстрактны,  они  представляют  упрощенную  картину  действительности,  в  которой  многие  ее  стороны  отсутствуют.  Ни сейчас, ни когда либо прежде нет и не было ни одной страны, экономика которой функционировала бы только при помощи рыночного  механизма.  Наряду  с  рыночным  механизмом  всегда  использовался  и  используется  еще  в  большей  степени механизм государственного регулирования экономики.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Сознательная  координация  экономического  поведения  и  развития  (присутствие  "видимой  руки")  осуществляется, прежде всего, путем государственного регулирования, но ни сводится к нему в полной мере. В этом механизме наряду с государством огромную роль играют и другие элементы негосударственного характера, так называемая техноструктура.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Соотношение структурных элементов в координационном механизме экономики меняется в направлении нарастания удельного веса сознательного регулирования. И хотя этот процесс, как и другие экономические процессы, осуществляется не в непрерывной, а в волнообразной форме, существуют факторы, которые данную тенденцию продолжают усиливать. На эти факторы исследователи начинают обращать все большее внимание, выделяя в качестве главных следующие: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•     реальные перспективы истощения невозобнавляемых ресурсов;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•     возрастающая угроза экологических бедствий;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>•</w:t>
      </w:r>
      <w:r w:rsidR="00C41326">
        <w:rPr>
          <w:rFonts w:ascii="Times New Roman" w:hAnsi="Times New Roman"/>
          <w:sz w:val="28"/>
          <w:szCs w:val="28"/>
        </w:rPr>
        <w:t xml:space="preserve"> </w:t>
      </w:r>
      <w:r w:rsidRPr="00BE0DBA">
        <w:rPr>
          <w:rFonts w:ascii="Times New Roman" w:hAnsi="Times New Roman"/>
          <w:sz w:val="28"/>
          <w:szCs w:val="28"/>
        </w:rPr>
        <w:t xml:space="preserve">неравномерность распределения ресурсов в масштабах от регионального до общемирового.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В  контексте  неизбежных  будущих  экономических  преобразований  хотелось  бы  в  заключении  сказать  несколько  слов  о  путях модернизации предложенного экономического механизма регулирования хозяйственной деятельности региона. </w:t>
      </w:r>
    </w:p>
    <w:p w:rsidR="00BE0DBA" w:rsidRP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BE0DBA">
        <w:rPr>
          <w:rFonts w:ascii="Times New Roman" w:hAnsi="Times New Roman"/>
          <w:sz w:val="28"/>
          <w:szCs w:val="28"/>
        </w:rPr>
        <w:t xml:space="preserve">Механизм  управления  ресурсами  развития  региона  по  своей  функциональной  принадлежности  является  системой контроля издержек и качества в процессе реализации регионообразующих проектов развития. </w:t>
      </w:r>
    </w:p>
    <w:p w:rsid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DBA" w:rsidRDefault="00BE0DBA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1326" w:rsidRDefault="00C41326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3BAE" w:rsidRPr="00C41326" w:rsidRDefault="003701DB" w:rsidP="00C41326">
      <w:pPr>
        <w:pStyle w:val="a4"/>
        <w:spacing w:before="3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132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1. Воронцовский А.В. Инвестиции и финансирование: Методы оценки и обоснования. СПб.: Изд-во С.-Петербургского университета, 1998.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2. Глазунов В.Н. Финансовый анализ и оценка риска реальных инвестиций. М.: Финстатинформ, 1997.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3. Глушков В.М. Основы безбумажной информатики. М.: Наука. Главная редакция физико-математической литературы, 1982.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4. Голубков Е.П. Использование системного анализа в принятии плановых решений. М.: Экономика, 1982. 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>5. Государственное регулирование рыночной экономики: Учеб. пособ. М.: Дело, 2001.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6. Гранберг А.Г. Основы региональной экономики: Учебник для вузов. М.: ГУ ВШЭ, 2001.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7. Гранберг А. Стратегия территориального социально-экономического развития России: от идеи к реализации // Вопросы экономики. 2001. № 9.  С. 15 – 28.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8. Дрогобыцкий И.Н. Информационное моделирование экономических систем: Учеб. пособ. М.: Финансовая академия при</w:t>
      </w:r>
      <w:r w:rsidR="00C41326">
        <w:rPr>
          <w:rFonts w:ascii="Times New Roman" w:hAnsi="Times New Roman"/>
          <w:sz w:val="28"/>
          <w:szCs w:val="28"/>
        </w:rPr>
        <w:t xml:space="preserve"> </w:t>
      </w:r>
      <w:r w:rsidRPr="003701DB">
        <w:rPr>
          <w:rFonts w:ascii="Times New Roman" w:hAnsi="Times New Roman"/>
          <w:sz w:val="28"/>
          <w:szCs w:val="28"/>
        </w:rPr>
        <w:t>Правительстве РФ, 1999.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9. Красильников О. Проблемы структурных преобразований в экономике // Экономист. 2001. № 8. С. 52 – 58.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 10. Лавинский Г.В. Построение и функционирование сложных систем управления: Учеб. пособ. Киев: Выща шк. Головное изд-во,1989.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11. Фоменко А.В. Логистическая концепция формирования и функционирования региональных представительств предприятия:</w:t>
      </w:r>
      <w:r w:rsidR="00C41326">
        <w:rPr>
          <w:rFonts w:ascii="Times New Roman" w:hAnsi="Times New Roman"/>
          <w:sz w:val="28"/>
          <w:szCs w:val="28"/>
        </w:rPr>
        <w:t xml:space="preserve"> </w:t>
      </w:r>
      <w:r w:rsidRPr="003701DB">
        <w:rPr>
          <w:rFonts w:ascii="Times New Roman" w:hAnsi="Times New Roman"/>
          <w:sz w:val="28"/>
          <w:szCs w:val="28"/>
        </w:rPr>
        <w:t>Автореф. Саратов, 1999.</w:t>
      </w:r>
    </w:p>
    <w:p w:rsidR="003701DB" w:rsidRPr="003701DB" w:rsidRDefault="003701DB" w:rsidP="003F14FD">
      <w:pPr>
        <w:pStyle w:val="a4"/>
        <w:spacing w:before="36"/>
        <w:ind w:firstLine="709"/>
        <w:jc w:val="both"/>
        <w:rPr>
          <w:rFonts w:ascii="Times New Roman" w:hAnsi="Times New Roman"/>
          <w:sz w:val="28"/>
          <w:szCs w:val="28"/>
        </w:rPr>
      </w:pPr>
      <w:r w:rsidRPr="003701DB">
        <w:rPr>
          <w:rFonts w:ascii="Times New Roman" w:hAnsi="Times New Roman"/>
          <w:sz w:val="28"/>
          <w:szCs w:val="28"/>
        </w:rPr>
        <w:t xml:space="preserve">     12. Экономико-математические методы и прикладные модели: Учеб. пособ. для вузов / В.В. Федосеев, А.Н. Гармаш, Д.М.</w:t>
      </w:r>
      <w:r w:rsidR="00C41326">
        <w:rPr>
          <w:rFonts w:ascii="Times New Roman" w:hAnsi="Times New Roman"/>
          <w:sz w:val="28"/>
          <w:szCs w:val="28"/>
        </w:rPr>
        <w:t xml:space="preserve"> </w:t>
      </w:r>
      <w:r w:rsidRPr="003701DB">
        <w:rPr>
          <w:rFonts w:ascii="Times New Roman" w:hAnsi="Times New Roman"/>
          <w:sz w:val="28"/>
          <w:szCs w:val="28"/>
        </w:rPr>
        <w:t>Дайнтбергов и др.; Под ред.        В.В. Федосеева. М.: ЮНИТИ, 2000.</w:t>
      </w:r>
      <w:bookmarkStart w:id="0" w:name="_GoBack"/>
      <w:bookmarkEnd w:id="0"/>
    </w:p>
    <w:sectPr w:rsidR="003701DB" w:rsidRPr="003701DB" w:rsidSect="00C41326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E40" w:rsidRDefault="00C36E40" w:rsidP="00C41326">
      <w:pPr>
        <w:spacing w:after="0" w:line="240" w:lineRule="auto"/>
      </w:pPr>
      <w:r>
        <w:separator/>
      </w:r>
    </w:p>
  </w:endnote>
  <w:endnote w:type="continuationSeparator" w:id="0">
    <w:p w:rsidR="00C36E40" w:rsidRDefault="00C36E40" w:rsidP="00C4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26" w:rsidRDefault="00A93E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5BB9">
      <w:rPr>
        <w:noProof/>
      </w:rPr>
      <w:t>3</w:t>
    </w:r>
    <w:r>
      <w:fldChar w:fldCharType="end"/>
    </w:r>
  </w:p>
  <w:p w:rsidR="00C41326" w:rsidRDefault="00C413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E40" w:rsidRDefault="00C36E40" w:rsidP="00C41326">
      <w:pPr>
        <w:spacing w:after="0" w:line="240" w:lineRule="auto"/>
      </w:pPr>
      <w:r>
        <w:separator/>
      </w:r>
    </w:p>
  </w:footnote>
  <w:footnote w:type="continuationSeparator" w:id="0">
    <w:p w:rsidR="00C36E40" w:rsidRDefault="00C36E40" w:rsidP="00C4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7B95"/>
    <w:multiLevelType w:val="hybridMultilevel"/>
    <w:tmpl w:val="D5AE0C12"/>
    <w:lvl w:ilvl="0" w:tplc="1756B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C10295"/>
    <w:multiLevelType w:val="hybridMultilevel"/>
    <w:tmpl w:val="8AB6CA88"/>
    <w:lvl w:ilvl="0" w:tplc="E4F8964C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">
    <w:nsid w:val="69497276"/>
    <w:multiLevelType w:val="hybridMultilevel"/>
    <w:tmpl w:val="3954D988"/>
    <w:lvl w:ilvl="0" w:tplc="E3D62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BAF"/>
    <w:rsid w:val="0001097B"/>
    <w:rsid w:val="00313BAE"/>
    <w:rsid w:val="003701DB"/>
    <w:rsid w:val="003E445B"/>
    <w:rsid w:val="003F14FD"/>
    <w:rsid w:val="00615BB9"/>
    <w:rsid w:val="0078135B"/>
    <w:rsid w:val="00783BAF"/>
    <w:rsid w:val="00973ADB"/>
    <w:rsid w:val="00A93E6F"/>
    <w:rsid w:val="00BE0DBA"/>
    <w:rsid w:val="00C36E40"/>
    <w:rsid w:val="00C41326"/>
    <w:rsid w:val="00C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E0C75-9D27-4A16-9BA6-9EBF7B5F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783BAF"/>
    <w:pPr>
      <w:ind w:left="720"/>
      <w:contextualSpacing/>
    </w:pPr>
  </w:style>
  <w:style w:type="paragraph" w:customStyle="1" w:styleId="a4">
    <w:name w:val="Без интервала"/>
    <w:uiPriority w:val="1"/>
    <w:qFormat/>
    <w:rsid w:val="00313BAE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C4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C41326"/>
  </w:style>
  <w:style w:type="paragraph" w:styleId="a7">
    <w:name w:val="footer"/>
    <w:basedOn w:val="a"/>
    <w:link w:val="a8"/>
    <w:uiPriority w:val="99"/>
    <w:unhideWhenUsed/>
    <w:rsid w:val="00C4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4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2014-09-13T18:13:00Z</dcterms:created>
  <dcterms:modified xsi:type="dcterms:W3CDTF">2014-09-13T18:13:00Z</dcterms:modified>
</cp:coreProperties>
</file>