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0B3" w:rsidRDefault="008250B3" w:rsidP="00361E45">
      <w:pPr>
        <w:jc w:val="center"/>
        <w:rPr>
          <w:sz w:val="32"/>
          <w:szCs w:val="32"/>
        </w:rPr>
      </w:pPr>
    </w:p>
    <w:p w:rsidR="00361E45" w:rsidRPr="00B74EBF" w:rsidRDefault="00361E45" w:rsidP="00361E45">
      <w:pPr>
        <w:jc w:val="center"/>
        <w:rPr>
          <w:sz w:val="32"/>
          <w:szCs w:val="32"/>
        </w:rPr>
      </w:pPr>
      <w:r w:rsidRPr="00B74EBF">
        <w:rPr>
          <w:sz w:val="32"/>
          <w:szCs w:val="32"/>
        </w:rPr>
        <w:t>Министерство образования и науки Республики Казахстан</w:t>
      </w:r>
    </w:p>
    <w:p w:rsidR="00361E45" w:rsidRPr="00B74EBF" w:rsidRDefault="00361E45" w:rsidP="00361E45">
      <w:pPr>
        <w:jc w:val="center"/>
        <w:rPr>
          <w:sz w:val="32"/>
          <w:szCs w:val="32"/>
        </w:rPr>
      </w:pPr>
    </w:p>
    <w:p w:rsidR="00361E45" w:rsidRPr="00B74EBF" w:rsidRDefault="00361E45" w:rsidP="00361E45">
      <w:pPr>
        <w:jc w:val="center"/>
        <w:rPr>
          <w:sz w:val="32"/>
          <w:szCs w:val="32"/>
        </w:rPr>
      </w:pPr>
    </w:p>
    <w:p w:rsidR="00361E45" w:rsidRPr="00B74EBF" w:rsidRDefault="00361E45" w:rsidP="00361E45">
      <w:pPr>
        <w:jc w:val="center"/>
        <w:rPr>
          <w:sz w:val="32"/>
          <w:szCs w:val="32"/>
        </w:rPr>
      </w:pPr>
      <w:r w:rsidRPr="00B74EBF">
        <w:rPr>
          <w:sz w:val="32"/>
          <w:szCs w:val="32"/>
        </w:rPr>
        <w:t>Казахстанско-Британский технический университет</w:t>
      </w:r>
    </w:p>
    <w:p w:rsidR="00361E45" w:rsidRPr="00B74EBF" w:rsidRDefault="00361E45" w:rsidP="00361E45">
      <w:pPr>
        <w:jc w:val="center"/>
        <w:rPr>
          <w:sz w:val="32"/>
          <w:szCs w:val="32"/>
        </w:rPr>
      </w:pPr>
    </w:p>
    <w:p w:rsidR="00361E45" w:rsidRPr="00B74EBF" w:rsidRDefault="00361E45" w:rsidP="00361E45">
      <w:pPr>
        <w:jc w:val="center"/>
        <w:rPr>
          <w:sz w:val="32"/>
          <w:szCs w:val="32"/>
        </w:rPr>
      </w:pPr>
    </w:p>
    <w:p w:rsidR="00361E45" w:rsidRPr="00B74EBF" w:rsidRDefault="00361E45" w:rsidP="00361E45">
      <w:pPr>
        <w:jc w:val="center"/>
        <w:rPr>
          <w:sz w:val="32"/>
          <w:szCs w:val="32"/>
        </w:rPr>
      </w:pPr>
      <w:r w:rsidRPr="00B74EBF">
        <w:rPr>
          <w:sz w:val="32"/>
          <w:szCs w:val="32"/>
        </w:rPr>
        <w:t xml:space="preserve">Кафедра </w:t>
      </w:r>
      <w:r>
        <w:rPr>
          <w:sz w:val="32"/>
          <w:szCs w:val="32"/>
        </w:rPr>
        <w:t>экономики и бизнеса</w:t>
      </w: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Default="00361E45" w:rsidP="00361E45">
      <w:pPr>
        <w:jc w:val="center"/>
        <w:rPr>
          <w:sz w:val="36"/>
          <w:szCs w:val="36"/>
        </w:rPr>
      </w:pPr>
      <w:bookmarkStart w:id="0" w:name="_Toc528597465"/>
      <w:bookmarkStart w:id="1" w:name="_Toc530502015"/>
      <w:r w:rsidRPr="00B74EBF">
        <w:rPr>
          <w:sz w:val="36"/>
          <w:szCs w:val="36"/>
        </w:rPr>
        <w:t>РЕФЕРАТ ПО ТЕМЕ:</w:t>
      </w:r>
      <w:bookmarkEnd w:id="0"/>
      <w:bookmarkEnd w:id="1"/>
    </w:p>
    <w:p w:rsidR="00361E45" w:rsidRPr="00B74EBF" w:rsidRDefault="00361E45" w:rsidP="00361E45">
      <w:pPr>
        <w:jc w:val="center"/>
        <w:rPr>
          <w:sz w:val="36"/>
          <w:szCs w:val="36"/>
        </w:rPr>
      </w:pPr>
    </w:p>
    <w:p w:rsidR="00361E45" w:rsidRPr="00361E45" w:rsidRDefault="008131FD" w:rsidP="00361E45">
      <w:pPr>
        <w:jc w:val="center"/>
        <w:rPr>
          <w:sz w:val="36"/>
          <w:szCs w:val="36"/>
        </w:rPr>
      </w:pPr>
      <w:r>
        <w:rPr>
          <w:sz w:val="36"/>
          <w:szCs w:val="36"/>
        </w:rPr>
        <w:t>Денежно-кредитная политика РК.</w:t>
      </w:r>
    </w:p>
    <w:p w:rsidR="00361E45" w:rsidRDefault="00361E45" w:rsidP="00361E45">
      <w:pPr>
        <w:jc w:val="center"/>
        <w:rPr>
          <w:sz w:val="36"/>
          <w:szCs w:val="36"/>
        </w:rPr>
      </w:pPr>
    </w:p>
    <w:p w:rsidR="00361E45"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right"/>
        <w:rPr>
          <w:i/>
          <w:sz w:val="28"/>
          <w:szCs w:val="28"/>
        </w:rPr>
      </w:pPr>
    </w:p>
    <w:p w:rsidR="00361E45" w:rsidRDefault="00361E45" w:rsidP="00361E45">
      <w:pPr>
        <w:jc w:val="right"/>
        <w:rPr>
          <w:i/>
          <w:sz w:val="28"/>
          <w:szCs w:val="28"/>
        </w:rPr>
      </w:pPr>
      <w:r w:rsidRPr="00B74EBF">
        <w:rPr>
          <w:i/>
          <w:sz w:val="28"/>
          <w:szCs w:val="28"/>
        </w:rPr>
        <w:t>Выполнил</w:t>
      </w:r>
      <w:r>
        <w:rPr>
          <w:i/>
          <w:sz w:val="28"/>
          <w:szCs w:val="28"/>
        </w:rPr>
        <w:t>и:</w:t>
      </w:r>
      <w:r w:rsidRPr="00B74EBF">
        <w:rPr>
          <w:i/>
          <w:sz w:val="28"/>
          <w:szCs w:val="28"/>
        </w:rPr>
        <w:t xml:space="preserve"> студент</w:t>
      </w:r>
      <w:r>
        <w:rPr>
          <w:i/>
          <w:sz w:val="28"/>
          <w:szCs w:val="28"/>
        </w:rPr>
        <w:t>ы</w:t>
      </w:r>
      <w:r w:rsidRPr="00B74EBF">
        <w:rPr>
          <w:i/>
          <w:sz w:val="28"/>
          <w:szCs w:val="28"/>
        </w:rPr>
        <w:t xml:space="preserve"> группы </w:t>
      </w:r>
      <w:r w:rsidR="00922A5A">
        <w:rPr>
          <w:i/>
          <w:sz w:val="28"/>
          <w:szCs w:val="28"/>
        </w:rPr>
        <w:t>АУ</w:t>
      </w:r>
      <w:r w:rsidRPr="00B74EBF">
        <w:rPr>
          <w:i/>
          <w:sz w:val="28"/>
          <w:szCs w:val="28"/>
        </w:rPr>
        <w:t xml:space="preserve"> 03-2р</w:t>
      </w:r>
    </w:p>
    <w:p w:rsidR="00156917" w:rsidRDefault="00156917" w:rsidP="00156917">
      <w:pPr>
        <w:jc w:val="right"/>
        <w:rPr>
          <w:i/>
          <w:sz w:val="28"/>
          <w:szCs w:val="28"/>
          <w:lang w:val="kk-KZ"/>
        </w:rPr>
      </w:pPr>
      <w:r>
        <w:rPr>
          <w:i/>
          <w:sz w:val="28"/>
          <w:szCs w:val="28"/>
          <w:lang w:val="kk-KZ"/>
        </w:rPr>
        <w:t xml:space="preserve">Туктибаев Нуркен </w:t>
      </w:r>
    </w:p>
    <w:p w:rsidR="00156917" w:rsidRPr="003A7AC6" w:rsidRDefault="00156917" w:rsidP="00156917">
      <w:pPr>
        <w:jc w:val="right"/>
        <w:rPr>
          <w:i/>
          <w:sz w:val="28"/>
          <w:szCs w:val="28"/>
          <w:lang w:val="kk-KZ"/>
        </w:rPr>
      </w:pPr>
      <w:r>
        <w:rPr>
          <w:i/>
          <w:sz w:val="28"/>
          <w:szCs w:val="28"/>
          <w:lang w:val="kk-KZ"/>
        </w:rPr>
        <w:t xml:space="preserve"> Нигмеджанов Жасулан</w:t>
      </w:r>
    </w:p>
    <w:p w:rsidR="00361E45" w:rsidRPr="00B74EBF" w:rsidRDefault="00361E45" w:rsidP="00361E45">
      <w:pPr>
        <w:jc w:val="right"/>
        <w:rPr>
          <w:i/>
          <w:sz w:val="28"/>
          <w:szCs w:val="28"/>
        </w:rPr>
      </w:pPr>
      <w:r w:rsidRPr="00B74EBF">
        <w:rPr>
          <w:i/>
          <w:sz w:val="28"/>
          <w:szCs w:val="28"/>
        </w:rPr>
        <w:t>Проверила</w:t>
      </w:r>
      <w:r>
        <w:rPr>
          <w:i/>
          <w:sz w:val="28"/>
          <w:szCs w:val="28"/>
        </w:rPr>
        <w:t xml:space="preserve">: </w:t>
      </w:r>
      <w:r w:rsidRPr="00DD2EC3">
        <w:rPr>
          <w:sz w:val="28"/>
          <w:szCs w:val="28"/>
        </w:rPr>
        <w:t xml:space="preserve"> </w:t>
      </w:r>
      <w:r w:rsidRPr="00DD2EC3">
        <w:rPr>
          <w:i/>
          <w:sz w:val="28"/>
          <w:szCs w:val="28"/>
        </w:rPr>
        <w:t>Есенгалиева К. С.</w:t>
      </w:r>
      <w:r>
        <w:rPr>
          <w:i/>
          <w:sz w:val="28"/>
          <w:szCs w:val="28"/>
        </w:rPr>
        <w:t>.</w:t>
      </w: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Default="00361E45" w:rsidP="00361E45">
      <w:pPr>
        <w:jc w:val="center"/>
        <w:rPr>
          <w:sz w:val="28"/>
          <w:szCs w:val="28"/>
        </w:rPr>
      </w:pPr>
    </w:p>
    <w:p w:rsidR="008131FD" w:rsidRPr="00B74EBF" w:rsidRDefault="008131FD"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28"/>
          <w:szCs w:val="28"/>
        </w:rPr>
      </w:pPr>
    </w:p>
    <w:p w:rsidR="00361E45" w:rsidRPr="00B74EBF" w:rsidRDefault="00361E45" w:rsidP="00361E45">
      <w:pPr>
        <w:jc w:val="center"/>
        <w:rPr>
          <w:sz w:val="32"/>
          <w:szCs w:val="32"/>
        </w:rPr>
      </w:pPr>
      <w:r w:rsidRPr="00B74EBF">
        <w:rPr>
          <w:sz w:val="32"/>
          <w:szCs w:val="32"/>
        </w:rPr>
        <w:t>Алматы 2005</w:t>
      </w:r>
    </w:p>
    <w:p w:rsidR="00A66208" w:rsidRDefault="00361E45">
      <w:pPr>
        <w:jc w:val="center"/>
        <w:rPr>
          <w:b/>
          <w:sz w:val="40"/>
        </w:rPr>
      </w:pPr>
      <w:r>
        <w:rPr>
          <w:u w:val="single"/>
        </w:rPr>
        <w:br w:type="page"/>
      </w:r>
      <w:r w:rsidR="00A66208">
        <w:rPr>
          <w:b/>
          <w:sz w:val="40"/>
        </w:rPr>
        <w:t>План.</w:t>
      </w:r>
    </w:p>
    <w:p w:rsidR="00A66208" w:rsidRDefault="00A66208">
      <w:pPr>
        <w:jc w:val="center"/>
        <w:rPr>
          <w:sz w:val="28"/>
        </w:rPr>
      </w:pPr>
    </w:p>
    <w:p w:rsidR="00A66208" w:rsidRDefault="00A66208">
      <w:pPr>
        <w:pStyle w:val="4"/>
        <w:rPr>
          <w:sz w:val="28"/>
        </w:rPr>
      </w:pPr>
      <w:r>
        <w:rPr>
          <w:sz w:val="28"/>
        </w:rPr>
        <w:t xml:space="preserve">Введение                                                                                                 </w:t>
      </w:r>
      <w:r>
        <w:rPr>
          <w:sz w:val="28"/>
          <w:lang w:val="en-GB"/>
        </w:rPr>
        <w:t xml:space="preserve">             </w:t>
      </w:r>
      <w:r>
        <w:rPr>
          <w:sz w:val="28"/>
        </w:rPr>
        <w:t xml:space="preserve">   </w:t>
      </w:r>
    </w:p>
    <w:p w:rsidR="00A66208" w:rsidRDefault="00A66208">
      <w:pPr>
        <w:rPr>
          <w:sz w:val="28"/>
        </w:rPr>
      </w:pPr>
    </w:p>
    <w:p w:rsidR="00A66208" w:rsidRDefault="00A66208">
      <w:pPr>
        <w:rPr>
          <w:sz w:val="28"/>
        </w:rPr>
      </w:pPr>
      <w:r>
        <w:rPr>
          <w:b/>
          <w:sz w:val="28"/>
        </w:rPr>
        <w:t xml:space="preserve">Необходимость государственного регулирования экономики                    </w:t>
      </w:r>
    </w:p>
    <w:p w:rsidR="00A66208" w:rsidRDefault="00A66208">
      <w:pPr>
        <w:ind w:firstLine="567"/>
        <w:rPr>
          <w:sz w:val="28"/>
        </w:rPr>
      </w:pPr>
    </w:p>
    <w:p w:rsidR="00A66208" w:rsidRDefault="00A66208">
      <w:pPr>
        <w:rPr>
          <w:b/>
          <w:sz w:val="28"/>
        </w:rPr>
      </w:pPr>
      <w:r>
        <w:rPr>
          <w:b/>
          <w:sz w:val="28"/>
          <w:lang w:val="en-GB"/>
        </w:rPr>
        <w:t>I</w:t>
      </w:r>
      <w:r>
        <w:rPr>
          <w:b/>
          <w:sz w:val="28"/>
        </w:rPr>
        <w:t xml:space="preserve"> .     Кредитная система и денежно-кредитная политика</w:t>
      </w:r>
    </w:p>
    <w:p w:rsidR="00A66208" w:rsidRDefault="00A66208">
      <w:pPr>
        <w:rPr>
          <w:b/>
          <w:sz w:val="28"/>
          <w:lang w:val="en-GB"/>
        </w:rPr>
      </w:pPr>
      <w:r>
        <w:rPr>
          <w:b/>
          <w:sz w:val="28"/>
        </w:rPr>
        <w:t xml:space="preserve">         государства                                                                                                   </w:t>
      </w:r>
    </w:p>
    <w:p w:rsidR="00A66208" w:rsidRDefault="00A66208">
      <w:pPr>
        <w:rPr>
          <w:sz w:val="28"/>
        </w:rPr>
      </w:pPr>
    </w:p>
    <w:p w:rsidR="00A66208" w:rsidRPr="00CF5027" w:rsidRDefault="00A66208">
      <w:pPr>
        <w:rPr>
          <w:b/>
          <w:bCs/>
          <w:sz w:val="28"/>
        </w:rPr>
      </w:pPr>
      <w:r>
        <w:rPr>
          <w:b/>
          <w:sz w:val="28"/>
          <w:lang w:val="en-GB"/>
        </w:rPr>
        <w:t>II</w:t>
      </w:r>
      <w:r>
        <w:rPr>
          <w:b/>
          <w:sz w:val="28"/>
        </w:rPr>
        <w:t xml:space="preserve"> .   Основные инструменты денежно-кредитной политики                             </w:t>
      </w:r>
    </w:p>
    <w:p w:rsidR="00A66208" w:rsidRDefault="00A66208">
      <w:pPr>
        <w:rPr>
          <w:sz w:val="28"/>
        </w:rPr>
      </w:pPr>
    </w:p>
    <w:p w:rsidR="00A66208" w:rsidRDefault="00A66208">
      <w:pPr>
        <w:pStyle w:val="5"/>
      </w:pPr>
      <w:r>
        <w:t xml:space="preserve">Денежно - кредитная и валютная политика в Республике </w:t>
      </w:r>
    </w:p>
    <w:p w:rsidR="00A66208" w:rsidRDefault="00A66208">
      <w:pPr>
        <w:pStyle w:val="5"/>
        <w:numPr>
          <w:ilvl w:val="0"/>
          <w:numId w:val="0"/>
        </w:numPr>
        <w:rPr>
          <w:lang w:val="en-GB"/>
        </w:rPr>
      </w:pPr>
      <w:r>
        <w:t xml:space="preserve">        Казахстан  по Национальному банку.                                                     </w:t>
      </w:r>
    </w:p>
    <w:p w:rsidR="00A66208" w:rsidRDefault="00A66208">
      <w:pPr>
        <w:numPr>
          <w:ilvl w:val="1"/>
          <w:numId w:val="12"/>
        </w:numPr>
        <w:rPr>
          <w:b/>
          <w:bCs/>
        </w:rPr>
      </w:pPr>
      <w:r>
        <w:rPr>
          <w:b/>
          <w:bCs/>
        </w:rPr>
        <w:t>Инструменты денежно - кредитной политики</w:t>
      </w:r>
    </w:p>
    <w:p w:rsidR="00A66208" w:rsidRDefault="00A66208">
      <w:pPr>
        <w:jc w:val="both"/>
        <w:rPr>
          <w:b/>
          <w:bCs/>
        </w:rPr>
      </w:pPr>
      <w:r>
        <w:rPr>
          <w:b/>
          <w:bCs/>
        </w:rPr>
        <w:t xml:space="preserve">             3.2. Денежные агрегаты</w:t>
      </w:r>
    </w:p>
    <w:p w:rsidR="00A66208" w:rsidRDefault="00A66208">
      <w:pPr>
        <w:ind w:left="630"/>
        <w:rPr>
          <w:b/>
          <w:bCs/>
        </w:rPr>
      </w:pPr>
      <w:r>
        <w:rPr>
          <w:b/>
          <w:bCs/>
        </w:rPr>
        <w:t>3.3  Валютное регулирование и контроль</w:t>
      </w:r>
    </w:p>
    <w:p w:rsidR="00A66208" w:rsidRPr="009B7F83" w:rsidRDefault="00A66208" w:rsidP="009B7F83">
      <w:pPr>
        <w:ind w:left="630"/>
        <w:rPr>
          <w:b/>
          <w:bCs/>
        </w:rPr>
      </w:pPr>
      <w:r w:rsidRPr="009B7F83">
        <w:rPr>
          <w:b/>
          <w:bCs/>
        </w:rPr>
        <w:t>3.4.</w:t>
      </w:r>
      <w:r>
        <w:t xml:space="preserve"> </w:t>
      </w:r>
      <w:r w:rsidRPr="009B7F83">
        <w:rPr>
          <w:b/>
          <w:bCs/>
        </w:rPr>
        <w:t>Управление золотовалютными активами</w:t>
      </w:r>
    </w:p>
    <w:p w:rsidR="00A66208" w:rsidRDefault="00A66208">
      <w:pPr>
        <w:rPr>
          <w:b/>
          <w:sz w:val="28"/>
        </w:rPr>
      </w:pPr>
      <w:r>
        <w:rPr>
          <w:b/>
          <w:sz w:val="28"/>
        </w:rPr>
        <w:t xml:space="preserve">Заключение                                                                                                         </w:t>
      </w:r>
    </w:p>
    <w:p w:rsidR="00A66208" w:rsidRDefault="00A66208">
      <w:pPr>
        <w:rPr>
          <w:sz w:val="28"/>
        </w:rPr>
      </w:pPr>
    </w:p>
    <w:p w:rsidR="00A66208" w:rsidRDefault="00A66208">
      <w:pPr>
        <w:rPr>
          <w:b/>
          <w:sz w:val="28"/>
        </w:rPr>
      </w:pPr>
      <w:r>
        <w:rPr>
          <w:b/>
          <w:sz w:val="28"/>
        </w:rPr>
        <w:t xml:space="preserve">Список использованной литературы                                                             </w:t>
      </w:r>
    </w:p>
    <w:p w:rsidR="00A66208" w:rsidRDefault="00A66208">
      <w:pPr>
        <w:rPr>
          <w:sz w:val="28"/>
        </w:rPr>
      </w:pPr>
    </w:p>
    <w:p w:rsidR="00A66208" w:rsidRDefault="00CF5027">
      <w:pPr>
        <w:pStyle w:val="a3"/>
        <w:rPr>
          <w:b/>
          <w:sz w:val="36"/>
        </w:rPr>
      </w:pPr>
      <w:r>
        <w:br w:type="page"/>
      </w:r>
      <w:r w:rsidR="00A66208">
        <w:rPr>
          <w:b/>
          <w:sz w:val="36"/>
        </w:rPr>
        <w:t>Введение.</w:t>
      </w:r>
    </w:p>
    <w:p w:rsidR="00A66208" w:rsidRDefault="00A66208">
      <w:pPr>
        <w:pStyle w:val="2"/>
        <w:jc w:val="center"/>
        <w:rPr>
          <w:sz w:val="26"/>
        </w:rPr>
      </w:pPr>
    </w:p>
    <w:p w:rsidR="00A66208" w:rsidRDefault="00A66208">
      <w:pPr>
        <w:ind w:firstLine="720"/>
        <w:jc w:val="both"/>
      </w:pPr>
      <w:r>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экономики. Государственное регулирование экономики имеет долгую историю - даже в период раннего капитализма в Европе существовал централизованный контроль над ценами, качеством товаров и услуг, процентными ставками и внешней торговлей. В современных условиях любое государство осуществляет регулирование национальной экономики, с различной степенью государственного вмешательства в экономику.</w:t>
      </w:r>
    </w:p>
    <w:p w:rsidR="00A66208" w:rsidRDefault="00A66208">
      <w:pPr>
        <w:ind w:firstLine="720"/>
        <w:jc w:val="both"/>
      </w:pPr>
      <w:r>
        <w:t>По вопросам, в каких пропорциях должно сочетаться государственное и рыночное регулирование, каковы границы и направления государственного вмешательства, существует широкий спектр мнений и подходов - от полного государственного монополизма до крайнего экономического либерализма. Однако необходимость выполнения государством определенных функций в экономике не подвергается сомнению. Это еще раз получило подтверждение в ходе “кейнсианской революции”, которая совершила переворот в классических воззрениях на рыночную экономику и доказала невозможность самоисцеления экономического спада.</w:t>
      </w:r>
    </w:p>
    <w:p w:rsidR="00A66208" w:rsidRDefault="00A66208">
      <w:pPr>
        <w:ind w:firstLine="720"/>
        <w:jc w:val="both"/>
      </w:pPr>
      <w:r>
        <w:t>Вне зависимости от господствующих экономических доктрин никто не снимал с национальных правительств ответственности за экономическое положение страны. Таким образом, государственное регулирование экономики имеет важное значение для экономического и социального развития страны. При этом, осуществляя регулирование экономики, государство использует широкий набор средств и методов воздействия на экономику таких как бюджет, налоги, кредитно-денежная политика, экономическое законодательство и т.д.</w:t>
      </w:r>
    </w:p>
    <w:p w:rsidR="00A66208" w:rsidRDefault="00A66208">
      <w:pPr>
        <w:ind w:firstLine="720"/>
        <w:jc w:val="both"/>
      </w:pPr>
      <w:r>
        <w:t>В любой экономической системе, в том числе и рыночной экономике, государство выступает в известном смысле как экономический агент, обладающий правом и возможностью принуждения, например в сфере налоговой политики, государственного законодательства. Принуждение часто обосновывается политической философией, требующей подчинения личных интересов общественным.</w:t>
      </w:r>
    </w:p>
    <w:p w:rsidR="00A66208" w:rsidRDefault="00A66208">
      <w:pPr>
        <w:ind w:firstLine="720"/>
        <w:jc w:val="both"/>
      </w:pPr>
      <w:r>
        <w:t>Как бы там ни было, государство всегда, во все времена и во всех странах оказывало ключевое влияние на функционирование экономики, и вследствие этого, на развитие общества в целом. Таким образом государственное регулирование является важной частью функционирования экономики и, поэтому, заслуживает самого пристального внимания.</w:t>
      </w:r>
    </w:p>
    <w:p w:rsidR="00A66208" w:rsidRDefault="00A66208">
      <w:pPr>
        <w:ind w:firstLine="709"/>
        <w:jc w:val="both"/>
      </w:pPr>
      <w:r>
        <w:t>Многообразие задач, которые стоят перед государством в рыночной экономике определяют выполняемые государством экономические функции. Для решения задач, стоящих перед государством в процессе выполнения этих функций в распоряжении государства имеется ряд инструментов, к важнейшим из которых относятся: фискальная и денежная политика; социальная политика и политика регулирования доходов; внешнеэкономическая политика; и другие.</w:t>
      </w:r>
    </w:p>
    <w:p w:rsidR="00A66208" w:rsidRDefault="00A66208">
      <w:pPr>
        <w:ind w:firstLine="709"/>
        <w:jc w:val="both"/>
      </w:pPr>
      <w:r>
        <w:t>Не менее важной по значимости является денежная политика. Регулируя денежную массу, государство может влиять на цены, инвестиционные проекты и потребление населения, объем национального производства, инфляцию и темпы экономического роста. Денежная политика, как и фискальная, может служить средством стабилизации, но может и отрицательно воздействовать на экономику. Без отлаженной денежной политики борьба с инфляцией невозможна.</w:t>
      </w:r>
    </w:p>
    <w:p w:rsidR="00A66208" w:rsidRDefault="00A66208">
      <w:pPr>
        <w:ind w:firstLine="709"/>
        <w:jc w:val="both"/>
      </w:pPr>
      <w:r>
        <w:t xml:space="preserve">Под денежно-кредитной политикой государства понимается совокупность мер экономического регулирования денежного обращения и кредита, направленных на обеспечение устойчивого экономического роста путем воздействия на уровень и динамику инфляции, инвестиционную активность и другие важнейшие макроэкономические процессы. </w:t>
      </w:r>
    </w:p>
    <w:p w:rsidR="00A66208" w:rsidRDefault="00A66208">
      <w:pPr>
        <w:ind w:firstLine="709"/>
        <w:jc w:val="both"/>
      </w:pPr>
      <w:r>
        <w:t xml:space="preserve">Денежно-кредитная политика – важнейший метод государственного регулирования общественного воспроизводства с целью обеспечения наиболее благоприятных условий для развития рыночной экономики. </w:t>
      </w:r>
    </w:p>
    <w:p w:rsidR="00A66208" w:rsidRDefault="00A66208">
      <w:pPr>
        <w:spacing w:before="0" w:after="0"/>
        <w:ind w:firstLine="709"/>
        <w:jc w:val="both"/>
      </w:pPr>
      <w:r>
        <w:t xml:space="preserve"> Деньги существуют на протяжении тысячелетий. Напротив, центральные банки появились на исторической сцене сравнительно недавно. Что же касается современной модели центральных банков, то ее формирование восходит, когда начали определяться функции центральных банков в экономике с бумажными деньгами и коммерческими банками.</w:t>
      </w:r>
    </w:p>
    <w:p w:rsidR="00A66208" w:rsidRDefault="00A66208">
      <w:pPr>
        <w:spacing w:before="0" w:after="0"/>
        <w:ind w:firstLine="709"/>
        <w:jc w:val="both"/>
      </w:pPr>
      <w:r>
        <w:t xml:space="preserve">   Сегодня в любой, даже самой маленькой, стране мира есть свой центральный банк. Он выполняет 2 основные задачи. Первая задача – центральный банк должен обеспечить стабильность функционирования банковской и финансовой систем. В частности, он должен предупреждать возникновение финансовой паники, вероятность которой в финансовой системе с широким набором посреднических институтов весьма велика. При выполнении этой задачи центральный банк играет роль кредитора в последней инстанции.</w:t>
      </w:r>
    </w:p>
    <w:p w:rsidR="00A66208" w:rsidRDefault="00A66208">
      <w:pPr>
        <w:pStyle w:val="2"/>
        <w:rPr>
          <w:b/>
          <w:sz w:val="36"/>
        </w:rPr>
      </w:pPr>
    </w:p>
    <w:p w:rsidR="00A66208" w:rsidRDefault="00A66208">
      <w:pPr>
        <w:rPr>
          <w:lang w:val="en-GB"/>
        </w:rPr>
      </w:pPr>
    </w:p>
    <w:p w:rsidR="00A66208" w:rsidRDefault="00A66208">
      <w:pPr>
        <w:ind w:left="720"/>
        <w:jc w:val="center"/>
        <w:rPr>
          <w:rFonts w:ascii="Arial" w:hAnsi="Arial"/>
          <w:b/>
          <w:sz w:val="32"/>
        </w:rPr>
      </w:pPr>
      <w:r>
        <w:rPr>
          <w:b/>
          <w:sz w:val="36"/>
        </w:rPr>
        <w:t xml:space="preserve"> </w:t>
      </w:r>
      <w:r>
        <w:rPr>
          <w:b/>
          <w:sz w:val="32"/>
        </w:rPr>
        <w:t>Необходимость государственного</w:t>
      </w:r>
      <w:r>
        <w:rPr>
          <w:b/>
          <w:sz w:val="32"/>
        </w:rPr>
        <w:br/>
        <w:t>регулирования экономики</w:t>
      </w:r>
    </w:p>
    <w:p w:rsidR="00A66208" w:rsidRDefault="00A66208">
      <w:pPr>
        <w:ind w:left="720"/>
        <w:rPr>
          <w:sz w:val="28"/>
        </w:rPr>
      </w:pPr>
    </w:p>
    <w:p w:rsidR="00A66208" w:rsidRDefault="00A66208">
      <w:pPr>
        <w:ind w:firstLine="720"/>
        <w:jc w:val="both"/>
      </w:pPr>
      <w:r>
        <w:t xml:space="preserve">Отношение к государственному вмешательству в рыночную экономику было различным на разных этапах ее становления и развития. В период формирования рыночных отношений в </w:t>
      </w:r>
      <w:r>
        <w:rPr>
          <w:lang w:val="en-US"/>
        </w:rPr>
        <w:t>XVII</w:t>
      </w:r>
      <w:r>
        <w:t>-</w:t>
      </w:r>
      <w:r>
        <w:rPr>
          <w:lang w:val="en-US"/>
        </w:rPr>
        <w:t>XVIII</w:t>
      </w:r>
      <w:r>
        <w:t xml:space="preserve"> веках господствовавшая тогда экономическая доктрина - меркантилизм - основывалась на признании безусловной необходимости государственного регулирования для развития в стране торговли и промышленности.</w:t>
      </w:r>
    </w:p>
    <w:p w:rsidR="00A66208" w:rsidRDefault="00A66208">
      <w:pPr>
        <w:ind w:firstLine="720"/>
        <w:jc w:val="both"/>
      </w:pPr>
      <w:r>
        <w:t>С развитием рыночных отношений набравший силу класс предпринимателей начал рассматривать государственное вмешательство и связанные с этим ограничения как помеху в своей деятельности. Появившиеся идеи экономического либерализма, которые впервые наиболее полно обосновал А. Смит в своем  “Исследовании о природе и причинах богатства народов”, нашли большое число поклонников.</w:t>
      </w:r>
    </w:p>
    <w:p w:rsidR="00A66208" w:rsidRDefault="00A66208">
      <w:pPr>
        <w:ind w:firstLine="720"/>
        <w:jc w:val="both"/>
      </w:pPr>
      <w:r>
        <w:t>Согласно А. Смиту, рыночная система способна к саморегулированию, в основе которого лежит личный интерес, связанный со стремлением к прибыли. Он выступает как главная побудительная сила экономического развития. Одной из идей учения А. Смита была идея о том, что экономика будет функционировать эффективнее, если исключить ее регулирование государством. А. Смит считал, что, поскольку главным регулятором выступает рынок, следовательно, рынку должна быть предоставлена полная свобода.</w:t>
      </w:r>
    </w:p>
    <w:p w:rsidR="00A66208" w:rsidRDefault="00A66208">
      <w:pPr>
        <w:ind w:firstLine="720"/>
        <w:jc w:val="both"/>
      </w:pPr>
      <w:r>
        <w:t xml:space="preserve">При этом последователи А Смита, которых относят к так называемой классической школе, исходили из тезиса о необходимости выполнения государством традиционных функций, понимая, что есть сферы, которые находятся вне пределов досягаемости рыночного конкурентного механизма. Это прежде всего касается так называемых общественных товаров т.е. товаров и услуг, которые потребляются коллективно (национальная оборона, образование, транспортная система, здравоохранение и т.д.) Очевидно, что государство должно брать на себя заботу об их производстве и организовывать совместную оплату гражданами этой продукции. </w:t>
      </w:r>
    </w:p>
    <w:p w:rsidR="00A66208" w:rsidRDefault="00A66208">
      <w:pPr>
        <w:ind w:firstLine="720"/>
        <w:jc w:val="both"/>
      </w:pPr>
      <w:r>
        <w:t>К числу проблем, которые не решает рыночный конкурентный механизм, относятся внешние, или побочные эффекты. Механизм рынка часто не реагирует на явления, которые стали настоящей бедой для человечества. Внешние, или побочные, эффекты можно регулировать опираясь на прямой контроль государства, т.е. государство должно оценивать возникающие проблемы с точки зрения общественных перспектив.</w:t>
      </w:r>
    </w:p>
    <w:p w:rsidR="00A66208" w:rsidRDefault="00A66208">
      <w:pPr>
        <w:ind w:firstLine="720"/>
        <w:jc w:val="both"/>
      </w:pPr>
      <w:r>
        <w:t>Экономическая практика подтвердила, что существуют ситуации, так называемое фиаско рынка, когда рыночная координация не обеспечивает эффективного использования ресурсов. Фиаско рынка проявляется не только в ситуациях, связанных с внешними эффектами и общественными благами. Важнейшая причина - это свойственная рынку тенденция к монополизации. В этих условиях для обеспечения конкуренции, как условия наиболее полного выявления регулирующих функций рынка, стали жизненно необходимыми выработка антимонопольного законодательства и его применение государством.</w:t>
      </w:r>
    </w:p>
    <w:p w:rsidR="00A66208" w:rsidRDefault="00A66208">
      <w:pPr>
        <w:ind w:firstLine="720"/>
        <w:jc w:val="both"/>
      </w:pPr>
      <w:r>
        <w:t>Кроме того, вне рыночного регулирования находятся проблемы справедливости и равенства. Рыночное распределение, справедливое с точки зрения законов рынка, приводит к неравенству доходов и социальной незащищенности. При этом следует иметь ввиду, что когда рыночное распределение не устраивает большинство населения, это чревато серьезными социальными конфликтами.</w:t>
      </w:r>
    </w:p>
    <w:p w:rsidR="00A66208" w:rsidRDefault="00A66208">
      <w:pPr>
        <w:ind w:firstLine="720"/>
        <w:jc w:val="both"/>
      </w:pPr>
      <w:r>
        <w:t>Важный этап в теоретическом осознании роли государства в рыночной экономике был связан с именем выдающегося английского экономиста Дж. М. Кейнса. Идеи, выдвинутые в ходе “кейнсианской революции” доказали невозможность самоисцеления экономического спада, необходимость государственной политики как средства, способного уравновешивать совокупный спрос и совокупное предложение, выводить экономику из кризисного состояния, способствовать ее дальнейшей стабилизации.</w:t>
      </w:r>
    </w:p>
    <w:p w:rsidR="00A66208" w:rsidRDefault="00A66208">
      <w:pPr>
        <w:ind w:firstLine="720"/>
        <w:jc w:val="both"/>
      </w:pPr>
      <w:r>
        <w:t>В практическом плане экономическую политику, отражающую идеи Кейнса, когда через соответствующий кредитно-денежный и финансовый инструментарий регулировался совокупный спрос, проводило большинство развитых стран мира после второй мировой войны. Считается, что она во многом способствовала смягчению циклических колебаний экономики этих стран.</w:t>
      </w:r>
    </w:p>
    <w:p w:rsidR="00A66208" w:rsidRPr="009B7F83" w:rsidRDefault="00A66208">
      <w:pPr>
        <w:ind w:firstLine="720"/>
        <w:jc w:val="both"/>
      </w:pPr>
      <w:r w:rsidRPr="009B7F83">
        <w:t>Развитие рыночной экономики во второй половине XX века выявило четко обозначившуюся тенденцию расширения масштабов деятельности государства и усиления его роли в экономике. При этом общепризнанно, что наибольшая экономическая эффективность достигается в условиях действия конкурентного рыночного механизма. Цель государства в рыночной экономике не корректировать рыночный механизм, а создавать условия его свободного функционирования: конкуренция должна обеспечиваться везде, где возможно, регулирующее воздействие государства - везде где необходимо.</w:t>
      </w:r>
    </w:p>
    <w:p w:rsidR="00A66208" w:rsidRDefault="00A66208">
      <w:pPr>
        <w:pStyle w:val="2"/>
        <w:jc w:val="center"/>
        <w:rPr>
          <w:b/>
          <w:sz w:val="36"/>
        </w:rPr>
      </w:pPr>
    </w:p>
    <w:p w:rsidR="00A66208" w:rsidRDefault="00A66208">
      <w:pPr>
        <w:pStyle w:val="2"/>
        <w:jc w:val="center"/>
        <w:rPr>
          <w:b/>
          <w:sz w:val="36"/>
        </w:rPr>
      </w:pPr>
      <w:smartTag w:uri="urn:schemas-microsoft-com:office:smarttags" w:element="place">
        <w:r>
          <w:rPr>
            <w:b/>
            <w:sz w:val="36"/>
            <w:lang w:val="en-GB"/>
          </w:rPr>
          <w:t>I</w:t>
        </w:r>
        <w:r>
          <w:rPr>
            <w:b/>
            <w:sz w:val="36"/>
          </w:rPr>
          <w:t>.</w:t>
        </w:r>
      </w:smartTag>
      <w:r>
        <w:rPr>
          <w:b/>
          <w:sz w:val="36"/>
        </w:rPr>
        <w:t xml:space="preserve"> Кредитная система и денежно-кредитная политика государства.</w:t>
      </w:r>
    </w:p>
    <w:p w:rsidR="00A66208" w:rsidRDefault="00A66208">
      <w:pPr>
        <w:pStyle w:val="a9"/>
        <w:spacing w:line="240" w:lineRule="auto"/>
        <w:rPr>
          <w:rFonts w:ascii="Times New Roman" w:hAnsi="Times New Roman"/>
        </w:rPr>
      </w:pPr>
    </w:p>
    <w:p w:rsidR="00A66208" w:rsidRDefault="00A66208">
      <w:pPr>
        <w:pStyle w:val="a9"/>
        <w:spacing w:line="240" w:lineRule="auto"/>
        <w:rPr>
          <w:rFonts w:ascii="Times New Roman" w:hAnsi="Times New Roman"/>
        </w:rPr>
      </w:pPr>
      <w:r>
        <w:rPr>
          <w:rFonts w:ascii="Times New Roman" w:hAnsi="Times New Roman"/>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A66208" w:rsidRDefault="00A66208">
      <w:pPr>
        <w:pStyle w:val="a6"/>
        <w:ind w:firstLine="709"/>
        <w:jc w:val="both"/>
        <w:rPr>
          <w:rFonts w:ascii="Times New Roman" w:hAnsi="Times New Roman"/>
        </w:rPr>
      </w:pPr>
      <w:r>
        <w:rPr>
          <w:rFonts w:ascii="Times New Roman" w:hAnsi="Times New Roman"/>
        </w:rPr>
        <w:t>Нерегулируемая деятельность коммерческих банков может привести к циклическим колебаниям деловой активности, т.е. в периоды инфляции им выгодно увеличивать  денежное  предложение,  а  в  период депрессии - уменьшать, усугубляя тем самым кризис.  Поэтому необходима взвешенная государственная политика  регулирования  денежного обращения.  Эту роль главного координирующего и регулирующего органа всей денежной системы страны выполняет центральный (эмиссионный) банк.</w:t>
      </w:r>
    </w:p>
    <w:p w:rsidR="00A66208" w:rsidRDefault="00A66208">
      <w:pPr>
        <w:pStyle w:val="a6"/>
        <w:ind w:firstLine="709"/>
        <w:jc w:val="both"/>
        <w:rPr>
          <w:rFonts w:ascii="Times New Roman" w:hAnsi="Times New Roman"/>
        </w:rPr>
      </w:pPr>
      <w:r>
        <w:rPr>
          <w:rFonts w:ascii="Times New Roman" w:hAnsi="Times New Roman"/>
        </w:rPr>
        <w:t>Главная задача кредитно-денежной политики центрального  банка  - поддержание стабильной покупательной силы национальной валюты и обеспечение эластичной системы платежей и расчетов. В то же время политика  центрального банка является одной из важнейших частей регулирования всей экономики государства.  Во второй половине XX века  сложился "магический четырехугольник" целей регулирования экономики: обеспечение стабильных темпов экономического роста,  стабильной  национальной валюты,  занятости и равновесия платежного баланса. В последние годы к ним добавилась задача достижения экологического равновесия.</w:t>
      </w:r>
    </w:p>
    <w:p w:rsidR="00A66208" w:rsidRDefault="00A66208">
      <w:pPr>
        <w:ind w:firstLine="567"/>
        <w:jc w:val="both"/>
      </w:pPr>
      <w:r>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денежная масса, поэтому деятельность центрального банка по эмиссии наличных денег должна быть не менее взвешенной и продуманной, чем любая другая.  </w:t>
      </w:r>
    </w:p>
    <w:p w:rsidR="00A66208" w:rsidRDefault="00A66208">
      <w:pPr>
        <w:ind w:firstLine="567"/>
        <w:jc w:val="both"/>
      </w:pPr>
      <w:r>
        <w:t>Осуществляя денежно-кредитную политику, воздействуя на кредитную деятельность коммерческих банков и направляя регулирование на расширение или сокращение кредитования экономики, центральный банк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A66208" w:rsidRDefault="00A66208">
      <w:pPr>
        <w:ind w:firstLine="567"/>
        <w:jc w:val="both"/>
      </w:pPr>
      <w: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A66208" w:rsidRDefault="00A66208">
      <w:pPr>
        <w:ind w:firstLine="567"/>
        <w:jc w:val="both"/>
      </w:pPr>
      <w: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A66208" w:rsidRDefault="00A66208">
      <w:pPr>
        <w:ind w:firstLine="709"/>
        <w:jc w:val="both"/>
      </w:pPr>
      <w:r>
        <w:t>Нужно отметить, что 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A66208" w:rsidRDefault="00A66208">
      <w:pPr>
        <w:ind w:firstLine="709"/>
        <w:jc w:val="both"/>
      </w:pPr>
      <w:r>
        <w:t>Предложение денег на денежном рынке играет большую роль в экономике. Это, в частности, следует из известного уравнения обмена. Соответственно ему существует зависимость между объемами денежной массы, скоростью обращения денег, выпуском продукции и уровнем цен.  А вот что показывает западная статистика:</w:t>
      </w:r>
    </w:p>
    <w:p w:rsidR="00A66208" w:rsidRDefault="00A66208">
      <w:pPr>
        <w:numPr>
          <w:ilvl w:val="0"/>
          <w:numId w:val="3"/>
        </w:numPr>
        <w:jc w:val="both"/>
      </w:pPr>
      <w:r>
        <w:t xml:space="preserve"> “ Уровень роста предложения денег и средний уровень цен практически линейно зависимы с коэффициентом более 0.9 для всех агрегатов во всех странах со всеми экономиками (по развитости).</w:t>
      </w:r>
    </w:p>
    <w:p w:rsidR="00A66208" w:rsidRDefault="00A66208">
      <w:pPr>
        <w:numPr>
          <w:ilvl w:val="0"/>
          <w:numId w:val="4"/>
        </w:numPr>
        <w:jc w:val="both"/>
      </w:pPr>
      <w:r>
        <w:t xml:space="preserve"> Уровень роста предложения денег и реального производства абсолютно не связаны между собой там, где прирост денежной массы более чем примерно 18% в год. В странах же с меньшими темпами роста денежной массы существует практически линейная зависимость с коэффициентом около 0.1</w:t>
      </w:r>
    </w:p>
    <w:p w:rsidR="00A66208" w:rsidRDefault="00A66208">
      <w:pPr>
        <w:numPr>
          <w:ilvl w:val="0"/>
          <w:numId w:val="4"/>
        </w:numPr>
        <w:jc w:val="both"/>
      </w:pPr>
      <w:r>
        <w:t xml:space="preserve"> Уровень инфляции и уровень роста реального продукта абсолютно не взаимосвязаны.”</w:t>
      </w:r>
      <w:r>
        <w:rPr>
          <w:rStyle w:val="a8"/>
        </w:rPr>
        <w:footnoteReference w:id="1"/>
      </w:r>
    </w:p>
    <w:p w:rsidR="00A66208" w:rsidRDefault="00A66208">
      <w:pPr>
        <w:pStyle w:val="31"/>
        <w:spacing w:line="240" w:lineRule="auto"/>
        <w:rPr>
          <w:sz w:val="24"/>
        </w:rPr>
      </w:pPr>
      <w:r>
        <w:rPr>
          <w:sz w:val="24"/>
        </w:rPr>
        <w:t>Выше уже были упомянуты политика дорогих денег (ре-стрикционная) и политика дешевых денег (экспансионистская). Ниже мы увидим, в чем она заключается и каков механизм ее реализации.</w:t>
      </w:r>
    </w:p>
    <w:p w:rsidR="00A66208" w:rsidRDefault="00A66208">
      <w:pPr>
        <w:ind w:firstLine="567"/>
        <w:jc w:val="both"/>
      </w:pPr>
      <w:r>
        <w:t>Предположим,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A66208" w:rsidRDefault="00A66208">
      <w:pPr>
        <w:pStyle w:val="a9"/>
        <w:spacing w:line="240" w:lineRule="auto"/>
        <w:rPr>
          <w:rFonts w:ascii="Times New Roman" w:hAnsi="Times New Roman"/>
        </w:rPr>
      </w:pPr>
      <w:r>
        <w:rPr>
          <w:rFonts w:ascii="Times New Roman" w:hAnsi="Times New Roman"/>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 чтобы увеличить объем совокупных расходов и занятость.</w:t>
      </w:r>
    </w:p>
    <w:p w:rsidR="00A66208" w:rsidRDefault="00A66208">
      <w:pPr>
        <w:ind w:firstLine="567"/>
        <w:jc w:val="both"/>
      </w:pPr>
      <w: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A66208" w:rsidRDefault="00A66208">
      <w:pPr>
        <w:ind w:firstLine="567"/>
        <w:jc w:val="both"/>
      </w:pPr>
      <w: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A66208" w:rsidRDefault="00A66208">
      <w:pPr>
        <w:ind w:firstLine="567"/>
        <w:jc w:val="both"/>
      </w:pPr>
      <w: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A66208" w:rsidRDefault="00A66208">
      <w:pPr>
        <w:ind w:firstLine="567"/>
        <w:jc w:val="both"/>
      </w:pPr>
      <w: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A66208" w:rsidRDefault="00A66208">
      <w:pPr>
        <w:ind w:firstLine="567"/>
        <w:jc w:val="both"/>
      </w:pPr>
      <w: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A66208" w:rsidRDefault="00A66208">
      <w:pPr>
        <w:pStyle w:val="a6"/>
        <w:ind w:firstLine="709"/>
        <w:jc w:val="both"/>
        <w:rPr>
          <w:rFonts w:ascii="Times New Roman" w:hAnsi="Times New Roman"/>
        </w:rPr>
      </w:pPr>
      <w:r>
        <w:rPr>
          <w:rFonts w:ascii="Times New Roman" w:hAnsi="Times New Roman"/>
        </w:rPr>
        <w:t>В основе денежно-кредитной политики лежит теория денег,  изучающая воздействие денег на состояние экономики в целом.</w:t>
      </w:r>
    </w:p>
    <w:p w:rsidR="00A66208" w:rsidRDefault="00A66208">
      <w:pPr>
        <w:pStyle w:val="a6"/>
        <w:ind w:firstLine="709"/>
        <w:jc w:val="both"/>
        <w:rPr>
          <w:rFonts w:ascii="Times New Roman" w:hAnsi="Times New Roman"/>
        </w:rPr>
      </w:pPr>
      <w:r>
        <w:rPr>
          <w:rFonts w:ascii="Times New Roman" w:hAnsi="Times New Roman"/>
        </w:rPr>
        <w:t>Среди экономистов ведутся споры,  обусловленные двумя различными подходами: кейнсианской теорией и монетаризмом.  В чем же  суть  этих разногласий?</w:t>
      </w:r>
    </w:p>
    <w:p w:rsidR="00A66208" w:rsidRDefault="00A66208">
      <w:pPr>
        <w:pStyle w:val="a6"/>
        <w:ind w:firstLine="709"/>
        <w:rPr>
          <w:rFonts w:ascii="Times New Roman" w:hAnsi="Times New Roman"/>
          <w:i/>
        </w:rPr>
      </w:pPr>
      <w:r>
        <w:rPr>
          <w:rFonts w:ascii="Times New Roman" w:hAnsi="Times New Roman"/>
          <w:i/>
        </w:rPr>
        <w:t>Кейнсианская теория денег.</w:t>
      </w:r>
    </w:p>
    <w:p w:rsidR="00A66208" w:rsidRDefault="00A66208">
      <w:pPr>
        <w:pStyle w:val="a6"/>
        <w:ind w:firstLine="709"/>
        <w:jc w:val="both"/>
        <w:rPr>
          <w:rFonts w:ascii="Times New Roman" w:hAnsi="Times New Roman"/>
        </w:rPr>
      </w:pPr>
      <w:r>
        <w:rPr>
          <w:rFonts w:ascii="Times New Roman" w:hAnsi="Times New Roman"/>
        </w:rPr>
        <w:t>Джон Мейнард Кейнс и его последователи  полагали,  что  рыночная структура экономики  обладает внутренними "пороками",  что она неспособна к саморегулированию.  Это, в частности, выражается в безработице, инфляции, частых экономических кризисах. Кейнсианцы делали вывод, что государство должно активно вмешиваться в дела экономики для  предотвращения кризисов  и  обеспечения  стабильности,  должно проводить жесткую фискальную и денежную политику. Они признавали, что изменение денежного предложения влияет на номинальный ВНП,  причем в основу монетарной политики должен быть положен уровень процентной ставки (так как, изменяя процентную ставку, мы изменяем инвестиционную активность, а через мультипликационный эффект - номинальный ВНП).</w:t>
      </w:r>
    </w:p>
    <w:p w:rsidR="00A66208" w:rsidRDefault="00A66208">
      <w:pPr>
        <w:pStyle w:val="a6"/>
        <w:ind w:firstLine="709"/>
        <w:rPr>
          <w:rFonts w:ascii="Times New Roman" w:hAnsi="Times New Roman"/>
        </w:rPr>
      </w:pPr>
      <w:r>
        <w:rPr>
          <w:rFonts w:ascii="Times New Roman" w:hAnsi="Times New Roman"/>
        </w:rPr>
        <w:t>Основополагающим кейнсианским уравнением является:</w:t>
      </w:r>
    </w:p>
    <w:p w:rsidR="00A66208" w:rsidRDefault="00A66208">
      <w:pPr>
        <w:pStyle w:val="a6"/>
        <w:ind w:firstLine="709"/>
        <w:rPr>
          <w:rFonts w:ascii="Times New Roman" w:hAnsi="Times New Roman"/>
        </w:rPr>
      </w:pPr>
      <w:r>
        <w:rPr>
          <w:rFonts w:ascii="Times New Roman" w:hAnsi="Times New Roman"/>
        </w:rPr>
        <w:t>ВНП=С+I+G+NX (С  -  потребительские  расходы  населения,   I   - инвестиции, G  -  государственные расходы на покупку товаров и услуг,  NX - чистый экспорт).</w:t>
      </w:r>
    </w:p>
    <w:p w:rsidR="00A66208" w:rsidRDefault="00A66208">
      <w:pPr>
        <w:pStyle w:val="a6"/>
        <w:ind w:firstLine="709"/>
        <w:rPr>
          <w:rFonts w:ascii="Times New Roman" w:hAnsi="Times New Roman"/>
        </w:rPr>
      </w:pPr>
      <w:r>
        <w:rPr>
          <w:rFonts w:ascii="Times New Roman" w:hAnsi="Times New Roman"/>
        </w:rPr>
        <w:t>Кейнсианцы считали, что фискальная, или бюджетная, политика оказывается более действенной в период экономического кризиса,  чем денежная политика.</w:t>
      </w:r>
    </w:p>
    <w:p w:rsidR="00A66208" w:rsidRDefault="00A66208">
      <w:pPr>
        <w:pStyle w:val="a6"/>
        <w:ind w:firstLine="709"/>
        <w:jc w:val="both"/>
        <w:rPr>
          <w:rFonts w:ascii="Times New Roman" w:hAnsi="Times New Roman"/>
        </w:rPr>
      </w:pPr>
      <w:r>
        <w:rPr>
          <w:rFonts w:ascii="Times New Roman" w:hAnsi="Times New Roman"/>
        </w:rPr>
        <w:t>По мнению кейнсианцев, скорость обращения денег изменчива и непредсказуема. Кейнсианская позиция состоит в том,  что деньги нужны не только для заключения сделок,  но и для владения ими в качестве активов. "Движутся" только деньги "для сделок", деньги - активы не участвуют в обороте.  Следовательно, чем больше относительное значение денег, используемых для сделок, тем выше скорость денежного обращения.</w:t>
      </w:r>
    </w:p>
    <w:p w:rsidR="00A66208" w:rsidRDefault="00A66208">
      <w:pPr>
        <w:pStyle w:val="a6"/>
        <w:ind w:firstLine="709"/>
        <w:jc w:val="both"/>
        <w:rPr>
          <w:rFonts w:ascii="Times New Roman" w:hAnsi="Times New Roman"/>
        </w:rPr>
      </w:pPr>
      <w:r>
        <w:rPr>
          <w:rFonts w:ascii="Times New Roman" w:hAnsi="Times New Roman"/>
        </w:rPr>
        <w:t>Расширение денежного предложения понизит процентную ставку. Коль скоро  теперь становится менее накладно иметь деньги в качестве активов,  население будет держать больше денежных активов с нулевой  скоростью обращения.  Поэтому общая скорость денежного обращения падает.</w:t>
      </w:r>
    </w:p>
    <w:p w:rsidR="00A66208" w:rsidRDefault="00A66208">
      <w:pPr>
        <w:pStyle w:val="a6"/>
        <w:ind w:firstLine="709"/>
        <w:jc w:val="both"/>
        <w:rPr>
          <w:rFonts w:ascii="Times New Roman" w:hAnsi="Times New Roman"/>
        </w:rPr>
      </w:pPr>
      <w:r>
        <w:rPr>
          <w:rFonts w:ascii="Times New Roman" w:hAnsi="Times New Roman"/>
        </w:rPr>
        <w:t>Итак, скорость обращения денег изменяется прямо пропорционально ставке  процента  и  обратно пропорционально предложению денег.  Если это так,  то стабильная связь между денежной массой и чистым национальным продуктом отсутствует, так как скорость денежного обращения изменяется с изменением денег.</w:t>
      </w:r>
    </w:p>
    <w:p w:rsidR="00A66208" w:rsidRDefault="00A66208">
      <w:pPr>
        <w:pStyle w:val="a6"/>
        <w:ind w:firstLine="709"/>
        <w:jc w:val="both"/>
        <w:rPr>
          <w:rFonts w:ascii="Times New Roman" w:hAnsi="Times New Roman"/>
        </w:rPr>
      </w:pPr>
      <w:r>
        <w:rPr>
          <w:rFonts w:ascii="Times New Roman" w:hAnsi="Times New Roman"/>
        </w:rPr>
        <w:t>Выше было отмечено,  что для борьбы с инфляцией необходимо ограничить денежную массу.</w:t>
      </w:r>
    </w:p>
    <w:p w:rsidR="00A66208" w:rsidRDefault="00A66208">
      <w:pPr>
        <w:pStyle w:val="a6"/>
        <w:ind w:firstLine="709"/>
        <w:jc w:val="both"/>
        <w:rPr>
          <w:rFonts w:ascii="Times New Roman" w:hAnsi="Times New Roman"/>
        </w:rPr>
      </w:pPr>
      <w:r>
        <w:rPr>
          <w:rFonts w:ascii="Times New Roman" w:hAnsi="Times New Roman"/>
        </w:rPr>
        <w:t xml:space="preserve">Кейнсианцы придерживаются здесь другого мнения. Они считают, что уменьшение денежного предложения может привести к  уменьшению спроса, что приведет к спаду производства, что в свою очередь усилит инфляцию.     </w:t>
      </w:r>
    </w:p>
    <w:p w:rsidR="00A66208" w:rsidRDefault="00A66208">
      <w:pPr>
        <w:pStyle w:val="a6"/>
        <w:ind w:firstLine="709"/>
        <w:jc w:val="both"/>
        <w:rPr>
          <w:rFonts w:ascii="Times New Roman" w:hAnsi="Times New Roman"/>
        </w:rPr>
      </w:pPr>
      <w:r>
        <w:rPr>
          <w:rFonts w:ascii="Times New Roman" w:hAnsi="Times New Roman"/>
        </w:rPr>
        <w:t>На самом деле все зависит от ситуации на рынке. Если при неэластичном предложении  товаров повысить денежную массу,  то это приведет только к росту цен - инфляции.</w:t>
      </w:r>
    </w:p>
    <w:p w:rsidR="00A66208" w:rsidRDefault="00A66208">
      <w:pPr>
        <w:pStyle w:val="a6"/>
        <w:ind w:firstLine="709"/>
        <w:jc w:val="both"/>
        <w:rPr>
          <w:rFonts w:ascii="Times New Roman" w:hAnsi="Times New Roman"/>
        </w:rPr>
      </w:pPr>
      <w:r>
        <w:rPr>
          <w:rFonts w:ascii="Times New Roman" w:hAnsi="Times New Roman"/>
        </w:rPr>
        <w:t>Если же на рынке предложение эластично (товаров много - денег не хватает), то с повышением объема денежной массы увеличится производство, следовательно, инфляция начнет утихать.</w:t>
      </w:r>
    </w:p>
    <w:p w:rsidR="00A66208" w:rsidRDefault="00A66208">
      <w:pPr>
        <w:pStyle w:val="a6"/>
        <w:ind w:firstLine="709"/>
        <w:jc w:val="both"/>
        <w:rPr>
          <w:rFonts w:ascii="Times New Roman" w:hAnsi="Times New Roman"/>
        </w:rPr>
      </w:pPr>
      <w:r>
        <w:rPr>
          <w:rFonts w:ascii="Times New Roman" w:hAnsi="Times New Roman"/>
        </w:rPr>
        <w:t>Кейнсианцы считают,  что главной проблемой в государственном регулировании является подстегивание эффективного спроса, а не борьба с инфляцией, которая должна носить регулируемый характер.</w:t>
      </w:r>
    </w:p>
    <w:p w:rsidR="00A66208" w:rsidRDefault="00A66208">
      <w:pPr>
        <w:pStyle w:val="a6"/>
        <w:ind w:firstLine="709"/>
        <w:rPr>
          <w:rFonts w:ascii="Times New Roman" w:hAnsi="Times New Roman"/>
        </w:rPr>
      </w:pPr>
      <w:r>
        <w:rPr>
          <w:rFonts w:ascii="Times New Roman" w:hAnsi="Times New Roman"/>
          <w:i/>
        </w:rPr>
        <w:t>Монетаристский подход</w:t>
      </w:r>
      <w:r>
        <w:rPr>
          <w:rFonts w:ascii="Times New Roman" w:hAnsi="Times New Roman"/>
        </w:rPr>
        <w:t>.</w:t>
      </w:r>
    </w:p>
    <w:p w:rsidR="00A66208" w:rsidRDefault="00A66208">
      <w:pPr>
        <w:pStyle w:val="a6"/>
        <w:ind w:firstLine="709"/>
        <w:jc w:val="both"/>
        <w:rPr>
          <w:rFonts w:ascii="Times New Roman" w:hAnsi="Times New Roman"/>
        </w:rPr>
      </w:pPr>
      <w:r>
        <w:rPr>
          <w:rFonts w:ascii="Times New Roman" w:hAnsi="Times New Roman"/>
        </w:rPr>
        <w:t>На 70-е  годы  приходится  кризис кейнсианства.  Над идеями этой школы берут верх идеи монетаризма,  главным теоретиком которого является Мильтон Фридман, известный американский экономист.</w:t>
      </w:r>
    </w:p>
    <w:p w:rsidR="00A66208" w:rsidRDefault="00A66208">
      <w:pPr>
        <w:pStyle w:val="a6"/>
        <w:ind w:firstLine="709"/>
        <w:jc w:val="both"/>
        <w:rPr>
          <w:rFonts w:ascii="Times New Roman" w:hAnsi="Times New Roman"/>
        </w:rPr>
      </w:pPr>
      <w:r>
        <w:rPr>
          <w:rFonts w:ascii="Times New Roman" w:hAnsi="Times New Roman"/>
        </w:rPr>
        <w:t>Монетаристы считают,  что рыночная экономика является  внутренне устойчивой системой. Все неблагоприятные моменты - следствие неразумного вмешательства государства, которое необходимо свести к минимуму.</w:t>
      </w:r>
    </w:p>
    <w:p w:rsidR="00A66208" w:rsidRDefault="00A66208">
      <w:pPr>
        <w:pStyle w:val="a6"/>
        <w:ind w:firstLine="709"/>
        <w:jc w:val="both"/>
        <w:rPr>
          <w:rFonts w:ascii="Times New Roman" w:hAnsi="Times New Roman"/>
        </w:rPr>
      </w:pPr>
      <w:r>
        <w:rPr>
          <w:rFonts w:ascii="Times New Roman" w:hAnsi="Times New Roman"/>
        </w:rPr>
        <w:t>Монетаризм делает упор на деньгах. Представители этой школы считают, что связь между ВНП и денежной  массой  более  прочная,  нежели между инвестициями и ВНП. Такой вывод делается из уравнения И.Фишера:</w:t>
      </w:r>
    </w:p>
    <w:p w:rsidR="00A66208" w:rsidRDefault="00A66208">
      <w:pPr>
        <w:pStyle w:val="a6"/>
        <w:ind w:firstLine="709"/>
        <w:jc w:val="both"/>
        <w:rPr>
          <w:rFonts w:ascii="Times New Roman" w:hAnsi="Times New Roman"/>
        </w:rPr>
      </w:pPr>
      <w:r>
        <w:rPr>
          <w:rFonts w:ascii="Times New Roman" w:hAnsi="Times New Roman"/>
        </w:rPr>
        <w:t>МхY=PхG (M - денежная масса,  Y - скорость денежного обращения,  Р  - индекс цен,  G  -  количество  товаров).  Ведь  если  посчитать,  что  ВНП=PхG, а Y стабильна (или ее изменения предсказуемы),  то  ВНП напрямую зависит от массы денег, находящихся в обращении.</w:t>
      </w:r>
    </w:p>
    <w:p w:rsidR="00A66208" w:rsidRDefault="00A66208">
      <w:pPr>
        <w:pStyle w:val="a6"/>
        <w:ind w:firstLine="709"/>
        <w:jc w:val="both"/>
        <w:rPr>
          <w:rFonts w:ascii="Times New Roman" w:hAnsi="Times New Roman"/>
        </w:rPr>
      </w:pPr>
      <w:r>
        <w:rPr>
          <w:rFonts w:ascii="Times New Roman" w:hAnsi="Times New Roman"/>
        </w:rPr>
        <w:t>В заключение хотелось бы отметить, что современные модели денежной политики  базируются и на кейнсианских и на монетаристских идеях.</w:t>
      </w:r>
    </w:p>
    <w:p w:rsidR="00A66208" w:rsidRDefault="00A66208">
      <w:pPr>
        <w:pStyle w:val="a6"/>
        <w:ind w:firstLine="709"/>
        <w:jc w:val="both"/>
        <w:rPr>
          <w:rFonts w:ascii="Times New Roman" w:hAnsi="Times New Roman"/>
        </w:rPr>
      </w:pPr>
      <w:r>
        <w:rPr>
          <w:rFonts w:ascii="Times New Roman" w:hAnsi="Times New Roman"/>
        </w:rPr>
        <w:t>Формирование в   нашей   стране  рыночных  отношений  объективно предопределяет овладение всем спектром механизмов экономического  регулирования. Бытующие порой представления о стихийности экономических процессов в рыночной экономике не имеют под собой почвы.  Регулируются, и довольно жестко, практически все основные отношения, определяющие эффективность и жизнеспособность экономики  в  целом.  Среди  них своей значимостью выделяются и денежно-кредитные инструменты.</w:t>
      </w:r>
    </w:p>
    <w:p w:rsidR="00A66208" w:rsidRDefault="00A66208"/>
    <w:p w:rsidR="00A66208" w:rsidRDefault="00A66208">
      <w:pPr>
        <w:rPr>
          <w:lang w:val="en-GB"/>
        </w:rPr>
      </w:pPr>
    </w:p>
    <w:p w:rsidR="00A66208" w:rsidRDefault="00A66208"/>
    <w:p w:rsidR="00A66208" w:rsidRDefault="00A66208">
      <w:pPr>
        <w:pStyle w:val="2"/>
        <w:jc w:val="center"/>
        <w:rPr>
          <w:b/>
          <w:sz w:val="36"/>
        </w:rPr>
      </w:pPr>
      <w:r>
        <w:rPr>
          <w:b/>
          <w:sz w:val="36"/>
          <w:lang w:val="en-GB"/>
        </w:rPr>
        <w:t>II</w:t>
      </w:r>
      <w:r>
        <w:rPr>
          <w:b/>
          <w:sz w:val="36"/>
        </w:rPr>
        <w:t>. Основные инструменты денежно-кредитной  политики.</w:t>
      </w:r>
    </w:p>
    <w:p w:rsidR="00A66208" w:rsidRDefault="00A66208">
      <w:pPr>
        <w:pStyle w:val="21"/>
        <w:spacing w:line="240" w:lineRule="auto"/>
        <w:rPr>
          <w:sz w:val="24"/>
        </w:rPr>
      </w:pPr>
      <w:r>
        <w:rPr>
          <w:sz w:val="24"/>
        </w:rPr>
        <w:t>Выше нами были изложены цели денежно-кредитного регулирования. Рассмотрим теперь основные инструменты, с помощью которых центральный банк проводит свою политику по отношению к коммерческим банкам. К ним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некоторые меры, носящие жесткий административный характер.</w:t>
      </w:r>
    </w:p>
    <w:p w:rsidR="00A66208" w:rsidRDefault="00A66208">
      <w:pPr>
        <w:pStyle w:val="21"/>
        <w:spacing w:line="240" w:lineRule="auto"/>
        <w:rPr>
          <w:sz w:val="24"/>
        </w:rPr>
      </w:pPr>
      <w:r>
        <w:rPr>
          <w:sz w:val="24"/>
        </w:rPr>
        <w:t>1. Политика обязательных резервов.</w:t>
      </w:r>
    </w:p>
    <w:p w:rsidR="00A66208" w:rsidRDefault="00A66208">
      <w:pPr>
        <w:pStyle w:val="21"/>
        <w:spacing w:line="240" w:lineRule="auto"/>
        <w:rPr>
          <w:sz w:val="24"/>
        </w:rPr>
      </w:pPr>
      <w:r>
        <w:rPr>
          <w:sz w:val="24"/>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A66208" w:rsidRDefault="00A66208">
      <w:pPr>
        <w:ind w:firstLine="567"/>
        <w:jc w:val="both"/>
      </w:pPr>
      <w:r>
        <w:t xml:space="preserve">Минимальные резервы выполняют две основные функции. </w:t>
      </w:r>
    </w:p>
    <w:p w:rsidR="00A66208" w:rsidRDefault="00A66208">
      <w:pPr>
        <w:ind w:firstLine="567"/>
        <w:jc w:val="both"/>
      </w:pPr>
      <w: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A66208" w:rsidRDefault="00A66208">
      <w:pPr>
        <w:ind w:firstLine="567"/>
        <w:jc w:val="both"/>
      </w:pPr>
      <w:r>
        <w:t xml:space="preserve">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 </w:t>
      </w:r>
    </w:p>
    <w:p w:rsidR="00A66208" w:rsidRDefault="00A66208">
      <w:pPr>
        <w:ind w:firstLine="567"/>
        <w:jc w:val="both"/>
      </w:pPr>
      <w: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A66208" w:rsidRDefault="00A66208">
      <w:pPr>
        <w:ind w:firstLine="567"/>
        <w:jc w:val="both"/>
      </w:pPr>
      <w: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A66208" w:rsidRDefault="00A66208">
      <w:pPr>
        <w:ind w:firstLine="567"/>
        <w:jc w:val="both"/>
      </w:pPr>
      <w: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p>
    <w:p w:rsidR="00A66208" w:rsidRDefault="00A66208">
      <w:pPr>
        <w:pStyle w:val="a6"/>
        <w:ind w:firstLine="709"/>
        <w:jc w:val="both"/>
        <w:rPr>
          <w:rFonts w:ascii="Times New Roman" w:hAnsi="Times New Roman"/>
        </w:rPr>
      </w:pPr>
      <w:r>
        <w:rPr>
          <w:rFonts w:ascii="Times New Roman" w:hAnsi="Times New Roman"/>
        </w:rPr>
        <w:t>Понижение нормы денежных резервов  приведет к увеличению денежного мультипликатора, а  следовательно, увеличит объем той денежной массы, которую может поддерживать некоторое количество резервов. Если  центральный банк увеличивает норму обязательных резервов, то это приводит к сокращению избыточных резервов банков  и  к мультипликационному уменьшению   денежного  предложения. Этот  процесс происходит очень быстро.  Ибо,  как только подписывается  решение  об увеличении резервных норм, каждый банк сразу же обнаруживает недостаточность своих резервов. Он срочно продаст часть своих ценных  бумаг и потребует возвращения ссуд.</w:t>
      </w:r>
    </w:p>
    <w:p w:rsidR="00A66208" w:rsidRDefault="00A66208">
      <w:pPr>
        <w:pStyle w:val="a6"/>
        <w:ind w:firstLine="709"/>
        <w:jc w:val="both"/>
        <w:rPr>
          <w:rFonts w:ascii="Times New Roman" w:hAnsi="Times New Roman"/>
        </w:rPr>
      </w:pPr>
      <w:r>
        <w:rPr>
          <w:rFonts w:ascii="Times New Roman" w:hAnsi="Times New Roman"/>
        </w:rPr>
        <w:t>Этот инструмент монетарной политики  является  наиболее  мощным, поскольку он  затрагивает  основы всей банковской системы. Он является настолько мощным, что в действительности его применяют раз в несколько лет, а не каждый день, как в случае с операциями на открытом рынке.</w:t>
      </w:r>
    </w:p>
    <w:p w:rsidR="00A66208" w:rsidRDefault="00A66208">
      <w:pPr>
        <w:ind w:firstLine="567"/>
        <w:jc w:val="both"/>
      </w:pPr>
    </w:p>
    <w:p w:rsidR="00A66208" w:rsidRDefault="00A66208">
      <w:pPr>
        <w:pStyle w:val="21"/>
        <w:spacing w:line="240" w:lineRule="auto"/>
        <w:rPr>
          <w:sz w:val="24"/>
        </w:rPr>
      </w:pPr>
      <w:r>
        <w:rPr>
          <w:sz w:val="24"/>
        </w:rPr>
        <w:t>2. Рефинансирование коммерческих банков.</w:t>
      </w:r>
    </w:p>
    <w:p w:rsidR="00A66208" w:rsidRDefault="00A66208">
      <w:pPr>
        <w:pStyle w:val="21"/>
        <w:spacing w:line="240" w:lineRule="auto"/>
        <w:rPr>
          <w:sz w:val="24"/>
        </w:rPr>
      </w:pPr>
      <w:r>
        <w:rPr>
          <w:sz w:val="24"/>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A66208" w:rsidRDefault="00A66208">
      <w:pPr>
        <w:ind w:firstLine="567"/>
        <w:jc w:val="both"/>
      </w:pPr>
      <w: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A66208" w:rsidRDefault="00A66208">
      <w:pPr>
        <w:ind w:firstLine="567"/>
        <w:jc w:val="both"/>
      </w:pPr>
      <w: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0.5-2 процентных пункта). Центральный банк покупает долговое обязательство по более низкой цене, чем коммерческий банк.</w:t>
      </w:r>
    </w:p>
    <w:p w:rsidR="00A66208" w:rsidRDefault="00A66208">
      <w:pPr>
        <w:ind w:firstLine="567"/>
        <w:jc w:val="both"/>
      </w:pPr>
      <w: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A66208" w:rsidRDefault="00A66208">
      <w:pPr>
        <w:ind w:firstLine="567"/>
        <w:jc w:val="both"/>
      </w:pPr>
      <w: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A66208" w:rsidRDefault="00A66208">
      <w:pPr>
        <w:ind w:firstLine="567"/>
        <w:jc w:val="both"/>
      </w:pPr>
      <w: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A66208" w:rsidRDefault="00A66208">
      <w:pPr>
        <w:ind w:firstLine="567"/>
        <w:jc w:val="both"/>
      </w:pPr>
      <w: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A66208" w:rsidRDefault="00A66208">
      <w:pPr>
        <w:ind w:firstLine="567"/>
        <w:jc w:val="both"/>
      </w:pPr>
      <w:r>
        <w:t xml:space="preserve">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 </w:t>
      </w:r>
    </w:p>
    <w:p w:rsidR="00A66208" w:rsidRDefault="00A66208">
      <w:pPr>
        <w:pStyle w:val="a6"/>
        <w:ind w:firstLine="709"/>
        <w:jc w:val="both"/>
        <w:rPr>
          <w:rFonts w:ascii="Times New Roman" w:hAnsi="Times New Roman"/>
        </w:rPr>
      </w:pPr>
      <w:r>
        <w:rPr>
          <w:rFonts w:ascii="Times New Roman" w:hAnsi="Times New Roman"/>
        </w:rPr>
        <w:t>Центральный банк  проводит  политику учетной ставки (которую еще называют иногда дисконтной политикой), выступая в роли "заимодателя в последней инстанции". Он представляет ссуды наиболее устойчивым в финансовом отношении банкам, испытывающим временные трудности. Федеральная резервная система (ФРС) иногда осуществляет долгосрочное кредитование на особых условиях. Это могут быть  ссуды  мелким  банкам  для   удовлетворения   их   сезонных потребностей в денежных средствах. Иногда также ссуды предоставляются банкам, оказавшимся в сложном финансовом положении  и  нуждающимся  в помощи для приведения в порядок своего баланса.</w:t>
      </w:r>
    </w:p>
    <w:p w:rsidR="00A66208" w:rsidRDefault="00A66208">
      <w:pPr>
        <w:pStyle w:val="a6"/>
        <w:ind w:firstLine="709"/>
        <w:jc w:val="both"/>
        <w:rPr>
          <w:rFonts w:ascii="Times New Roman" w:hAnsi="Times New Roman"/>
        </w:rPr>
      </w:pPr>
      <w:r>
        <w:rPr>
          <w:rFonts w:ascii="Times New Roman" w:hAnsi="Times New Roman"/>
        </w:rPr>
        <w:t xml:space="preserve"> Когда банк берет ссуду, он переводит ФРС выписанное на себя долговое обязательство, обычно обеспеченное государственными ценными бумагами. При возвращении ссуды ФРС взыскивает процентные платежи, размер которых определяется процентной ставкой.</w:t>
      </w:r>
    </w:p>
    <w:p w:rsidR="00A66208" w:rsidRDefault="00A66208">
      <w:pPr>
        <w:pStyle w:val="a6"/>
        <w:ind w:firstLine="709"/>
        <w:jc w:val="both"/>
        <w:rPr>
          <w:rFonts w:ascii="Times New Roman" w:hAnsi="Times New Roman"/>
        </w:rPr>
      </w:pPr>
      <w:r>
        <w:rPr>
          <w:rFonts w:ascii="Times New Roman" w:hAnsi="Times New Roman"/>
        </w:rPr>
        <w:t>Давая ссуду, ФРС увеличивает резервы коммерческого банка, причем для ее поддержания не нужны обязательные резервы, т.е. вся ссуда увеличивает избыточные резервы банка, его способность к кредитованию.</w:t>
      </w:r>
    </w:p>
    <w:p w:rsidR="00A66208" w:rsidRDefault="00A66208">
      <w:pPr>
        <w:pStyle w:val="a6"/>
        <w:ind w:firstLine="709"/>
        <w:jc w:val="both"/>
        <w:rPr>
          <w:rFonts w:ascii="Times New Roman" w:hAnsi="Times New Roman"/>
        </w:rPr>
      </w:pPr>
      <w:r>
        <w:rPr>
          <w:rFonts w:ascii="Times New Roman" w:hAnsi="Times New Roman"/>
        </w:rPr>
        <w:t>Если ФРС уменьшает учетную ставку,  то это поощряет банки к приобретению дополнительных резервов путем заимствования у  ФРС. В  этом случае можно  ожидать увеличения денежной массы.  Напротив, повышение учетной ставки соответствует стремлению руководящих кредитно-денежных учреждений ограничить предложение денег.</w:t>
      </w:r>
    </w:p>
    <w:p w:rsidR="00A66208" w:rsidRDefault="00A66208">
      <w:pPr>
        <w:pStyle w:val="a6"/>
        <w:ind w:firstLine="709"/>
        <w:jc w:val="both"/>
        <w:rPr>
          <w:rFonts w:ascii="Times New Roman" w:hAnsi="Times New Roman"/>
        </w:rPr>
      </w:pPr>
      <w:r>
        <w:rPr>
          <w:rFonts w:ascii="Times New Roman" w:hAnsi="Times New Roman"/>
        </w:rPr>
        <w:t>Но и только! Изменив учетную ставку, можно лишь  ожидать соответствующих действий банков.  Нельзя заставить банки взять кредит на сумму, необходимую государству.  В своей дисконтной политике центральный банк  может играть лишь пассивную роль. Только в операциях на открытом рынке центральный банк может играть активную роль. Но никогда не стоит недооценивать  роль учетной ставки:  изменяя ее,  центральный банк имеет большую силу для того,  чтобы оказать ограничивающее влияние на банки. И  все  же по эффективности применения политика учетной ставки стоит после операций на открытом рынке.</w:t>
      </w:r>
    </w:p>
    <w:p w:rsidR="00A66208" w:rsidRDefault="00A66208">
      <w:pPr>
        <w:ind w:firstLine="567"/>
        <w:jc w:val="both"/>
      </w:pPr>
    </w:p>
    <w:p w:rsidR="00A66208" w:rsidRPr="009B7F83" w:rsidRDefault="00A66208">
      <w:pPr>
        <w:pStyle w:val="21"/>
        <w:spacing w:line="240" w:lineRule="auto"/>
        <w:rPr>
          <w:b/>
          <w:sz w:val="24"/>
        </w:rPr>
      </w:pPr>
      <w:r w:rsidRPr="009B7F83">
        <w:rPr>
          <w:b/>
          <w:sz w:val="24"/>
        </w:rPr>
        <w:t>3. Операции на открытом рынке.</w:t>
      </w:r>
    </w:p>
    <w:p w:rsidR="00A66208" w:rsidRDefault="00A66208">
      <w:pPr>
        <w:pStyle w:val="21"/>
        <w:spacing w:line="240" w:lineRule="auto"/>
        <w:rPr>
          <w:sz w:val="24"/>
        </w:rPr>
      </w:pPr>
      <w:r>
        <w:rPr>
          <w:sz w:val="24"/>
        </w:rPr>
        <w:t>Постепенно два вышеописанных метода денежно-кредитного регулирования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p>
    <w:p w:rsidR="00A66208" w:rsidRDefault="00A66208">
      <w:pPr>
        <w:ind w:firstLine="567"/>
        <w:jc w:val="both"/>
      </w:pPr>
      <w:r>
        <w:t>Этот метод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A66208" w:rsidRDefault="00A66208">
      <w:pPr>
        <w:ind w:firstLine="567"/>
        <w:jc w:val="both"/>
      </w:pPr>
      <w: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A66208" w:rsidRDefault="00A66208">
      <w:pPr>
        <w:ind w:firstLine="567"/>
        <w:jc w:val="both"/>
      </w:pPr>
      <w: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промышленно-развитых стран на открытом рынке достигает от 82 до 99,6%".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A66208" w:rsidRDefault="00A66208">
      <w:pPr>
        <w:ind w:firstLine="567"/>
        <w:jc w:val="both"/>
      </w:pPr>
      <w:r>
        <w:t>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p>
    <w:p w:rsidR="00A66208" w:rsidRDefault="00A66208">
      <w:pPr>
        <w:ind w:firstLine="567"/>
        <w:jc w:val="both"/>
      </w:pPr>
    </w:p>
    <w:p w:rsidR="00A66208" w:rsidRDefault="00A66208">
      <w:pPr>
        <w:jc w:val="center"/>
      </w:pPr>
      <w:r>
        <w:t>4. Некоторые прочие методы регулирования денежно-кредитной сферы.</w:t>
      </w:r>
    </w:p>
    <w:p w:rsidR="00A66208" w:rsidRDefault="00A66208">
      <w:pPr>
        <w:ind w:firstLine="567"/>
        <w:jc w:val="both"/>
      </w:pPr>
      <w: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w:t>
      </w:r>
    </w:p>
    <w:p w:rsidR="00A66208" w:rsidRDefault="00A66208">
      <w:pPr>
        <w:ind w:firstLine="567"/>
        <w:jc w:val="both"/>
      </w:pPr>
      <w:r>
        <w:t>К ним относится, например,  использование количественных кредитных ограничений.</w:t>
      </w:r>
    </w:p>
    <w:p w:rsidR="00A66208" w:rsidRDefault="00A66208">
      <w:pPr>
        <w:ind w:firstLine="567"/>
        <w:jc w:val="both"/>
      </w:pPr>
      <w: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A66208" w:rsidRDefault="00A66208">
      <w:pPr>
        <w:ind w:firstLine="567"/>
        <w:jc w:val="both"/>
      </w:pPr>
      <w: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A66208" w:rsidRDefault="00A66208">
      <w:pPr>
        <w:ind w:firstLine="567"/>
        <w:jc w:val="both"/>
      </w:pPr>
      <w: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A66208" w:rsidRDefault="00A66208">
      <w:pPr>
        <w:ind w:firstLine="567"/>
        <w:jc w:val="both"/>
      </w:pPr>
      <w: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A66208" w:rsidRDefault="00A66208">
      <w:pPr>
        <w:ind w:firstLine="567"/>
        <w:jc w:val="both"/>
      </w:pPr>
      <w: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p>
    <w:p w:rsidR="00A66208" w:rsidRDefault="00A66208">
      <w:pPr>
        <w:pStyle w:val="a6"/>
        <w:ind w:firstLine="709"/>
        <w:jc w:val="both"/>
        <w:rPr>
          <w:rFonts w:ascii="Times New Roman" w:hAnsi="Times New Roman"/>
        </w:rPr>
      </w:pPr>
      <w:r>
        <w:rPr>
          <w:rFonts w:ascii="Times New Roman" w:hAnsi="Times New Roman"/>
        </w:rPr>
        <w:t>Кроме трех основных вышеприведенных инструментов денежной  политики, государство  также иногда использует второстепенное селективное регулирование, которое касается фондовой биржи,  потребительского кредита и увещеваний.</w:t>
      </w:r>
    </w:p>
    <w:p w:rsidR="00A66208" w:rsidRDefault="00A66208">
      <w:pPr>
        <w:pStyle w:val="a6"/>
        <w:ind w:firstLine="709"/>
        <w:jc w:val="both"/>
        <w:rPr>
          <w:rFonts w:ascii="Times New Roman" w:hAnsi="Times New Roman"/>
        </w:rPr>
      </w:pPr>
      <w:r>
        <w:rPr>
          <w:rFonts w:ascii="Times New Roman" w:hAnsi="Times New Roman"/>
        </w:rPr>
        <w:t>Дабы избежать излишней спекуляции на фондовой бирже, государство устанавливает предписываемую законом «маржу», т.е. процент от продажной цены ценной бумаги,  который должен быть оплачен при покупке либо наличными, либо  ценными бумагами, в то время как на другую часть может быть выписана долговая расписка.  Маржу повышают при желании  ограничить спекулятивную скупку акций и понижают при желании оживить фондовый рынок.</w:t>
      </w:r>
    </w:p>
    <w:p w:rsidR="00A66208" w:rsidRDefault="00A66208">
      <w:pPr>
        <w:pStyle w:val="a6"/>
        <w:ind w:firstLine="709"/>
        <w:jc w:val="both"/>
        <w:rPr>
          <w:rFonts w:ascii="Times New Roman" w:hAnsi="Times New Roman"/>
        </w:rPr>
      </w:pPr>
      <w:r>
        <w:rPr>
          <w:rFonts w:ascii="Times New Roman" w:hAnsi="Times New Roman"/>
        </w:rPr>
        <w:t>Если государство  хочет  не допустить увеличения денежной массы, то оно может всеми возможными средствами отбивать желание брать  потребительский  кредит:  повысит  ставку процента по нему или предпишет делать беспроцентный вклад в центральный банк при  покупке  кредитной карточки.</w:t>
      </w:r>
    </w:p>
    <w:p w:rsidR="00A66208" w:rsidRDefault="00A66208">
      <w:pPr>
        <w:pStyle w:val="a6"/>
        <w:ind w:firstLine="709"/>
        <w:jc w:val="both"/>
        <w:rPr>
          <w:rFonts w:ascii="Times New Roman" w:hAnsi="Times New Roman"/>
        </w:rPr>
      </w:pPr>
      <w:r>
        <w:rPr>
          <w:rFonts w:ascii="Times New Roman" w:hAnsi="Times New Roman"/>
        </w:rPr>
        <w:t>Государство в лице центрального  банка  может  влиять  на  банки путем словесного убеждения.  Могут быть политические заявления, общие решения, просто призывы к тому или иному действию. Государство обращается к чувству общественного долга банкиров. В общей форме могут быть сделаны предупреждения  относительно  доступности  кредита  в   будущем. Иногда увещевания  оказывают  определенное  воздействие,  в конце концов, ведь банкиры столь же чувствительны  к  общественному  мнению, как и другие.</w:t>
      </w:r>
    </w:p>
    <w:p w:rsidR="00A66208" w:rsidRDefault="00A66208">
      <w:pPr>
        <w:pStyle w:val="a6"/>
        <w:ind w:firstLine="709"/>
        <w:jc w:val="both"/>
        <w:rPr>
          <w:rFonts w:ascii="Times New Roman" w:hAnsi="Times New Roman"/>
        </w:rPr>
      </w:pPr>
      <w:r>
        <w:rPr>
          <w:rFonts w:ascii="Times New Roman" w:hAnsi="Times New Roman"/>
        </w:rPr>
        <w:t>На наш взгляд,  серьезным инструментом являются распространяемые слухи. Хотя это и незаконно,  но ведь, сколько всего незаконного можно сделать в стране с нестабильной внутренней обстановкой. Сколько раз мы были свидетелями  подобных явлений!  Ходили слухи о грядущей реформе, обмене денег,  повышении цен, замораживании вкладов, о письмах, якобы разосланных банкам.  Несомненно, такие слухи влияли на денежное предложение: люди старались избавиться от рублей, долларов или денег вообще, "превратив"  их в товары.</w:t>
      </w:r>
    </w:p>
    <w:p w:rsidR="00A66208" w:rsidRDefault="00A66208"/>
    <w:p w:rsidR="00A66208" w:rsidRDefault="00A66208">
      <w:pPr>
        <w:jc w:val="both"/>
        <w:rPr>
          <w:sz w:val="26"/>
          <w:lang w:val="en-US"/>
        </w:rPr>
      </w:pPr>
    </w:p>
    <w:p w:rsidR="00A66208" w:rsidRDefault="00A66208">
      <w:pPr>
        <w:jc w:val="both"/>
        <w:rPr>
          <w:b/>
          <w:bCs/>
          <w:sz w:val="32"/>
        </w:rPr>
      </w:pPr>
      <w:r>
        <w:rPr>
          <w:b/>
          <w:bCs/>
          <w:sz w:val="32"/>
        </w:rPr>
        <w:t>II</w:t>
      </w:r>
      <w:r>
        <w:rPr>
          <w:b/>
          <w:bCs/>
          <w:sz w:val="32"/>
          <w:lang w:val="en-GB"/>
        </w:rPr>
        <w:t>I</w:t>
      </w:r>
      <w:r>
        <w:rPr>
          <w:b/>
          <w:bCs/>
          <w:sz w:val="32"/>
        </w:rPr>
        <w:t>. Денежно - кредитная и валютная политика в Республике Казахстан  по Национальному банку.</w:t>
      </w:r>
    </w:p>
    <w:p w:rsidR="00A66208" w:rsidRDefault="00A66208">
      <w:pPr>
        <w:jc w:val="both"/>
      </w:pPr>
      <w:r>
        <w:t> </w:t>
      </w:r>
    </w:p>
    <w:p w:rsidR="00A66208" w:rsidRDefault="00A66208">
      <w:pPr>
        <w:jc w:val="both"/>
      </w:pPr>
      <w:r>
        <w:t xml:space="preserve">          В 2000 году приоритетом денежно-кредитной политики Национального Банка было поддержание низких темпов инфляции. Была продолжена политика свободно плавающего обменного курса тенге.</w:t>
      </w:r>
    </w:p>
    <w:p w:rsidR="00A66208" w:rsidRDefault="00A66208">
      <w:pPr>
        <w:jc w:val="both"/>
      </w:pPr>
      <w:r>
        <w:t xml:space="preserve">          В качестве инструментов регулирования краткосрочной ликвидности банковской системы использовались: операции с краткосрочными нотами, операции с государственными ценными бумагами на открытом рынке, регулирование официальных ставок, рефинансирование банков путем переучета векселей, предоставление банкам краткосрочных кредитов на поддержание ликвидности (дневных и овернайт).</w:t>
      </w:r>
    </w:p>
    <w:p w:rsidR="00A66208" w:rsidRDefault="00A66208">
      <w:pPr>
        <w:jc w:val="both"/>
      </w:pPr>
      <w:r>
        <w:t xml:space="preserve">          Для сглаживания резких краткосрочных колебаний обменного курса тенге и предотвращения чрезмерного укрепления курса тенге проводились операции на внутреннем валютном рынке (покупка и продажа иностранной валюты).</w:t>
      </w:r>
    </w:p>
    <w:p w:rsidR="00A66208" w:rsidRDefault="00A66208">
      <w:pPr>
        <w:jc w:val="both"/>
      </w:pPr>
      <w:r>
        <w:t xml:space="preserve">Биржевой курс тенге по отношению к доллару США понизился за год на 5,2% (в 1999 году - 64,6%) и составил на конец года 145,40 тенге за 1 доллар США </w:t>
      </w:r>
      <w:r>
        <w:rPr>
          <w:i/>
          <w:iCs/>
        </w:rPr>
        <w:t>(рис. 2.1)</w:t>
      </w:r>
      <w:r>
        <w:t>.</w:t>
      </w:r>
    </w:p>
    <w:p w:rsidR="00A66208" w:rsidRDefault="00A66208">
      <w:pPr>
        <w:jc w:val="both"/>
      </w:pPr>
    </w:p>
    <w:p w:rsidR="00A66208" w:rsidRDefault="00A66208">
      <w:pPr>
        <w:jc w:val="both"/>
      </w:pPr>
    </w:p>
    <w:p w:rsidR="00A66208" w:rsidRDefault="00A66208">
      <w:pPr>
        <w:jc w:val="both"/>
      </w:pPr>
      <w:r>
        <w:t>Рисунок 2.1</w:t>
      </w:r>
    </w:p>
    <w:p w:rsidR="00A66208" w:rsidRDefault="00A66208">
      <w:pPr>
        <w:jc w:val="both"/>
      </w:pPr>
      <w:r>
        <w:rPr>
          <w:b/>
          <w:bCs/>
        </w:rPr>
        <w:t>Динамика изменения биржевого обменного курса тенге к доллару США</w:t>
      </w:r>
      <w:r>
        <w:t>.</w:t>
      </w:r>
    </w:p>
    <w:p w:rsidR="00A66208" w:rsidRDefault="00151B29">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126.75pt">
            <v:imagedata r:id="rId7" o:title=""/>
          </v:shape>
        </w:pict>
      </w:r>
    </w:p>
    <w:p w:rsidR="00A66208" w:rsidRDefault="00A66208">
      <w:pPr>
        <w:jc w:val="both"/>
      </w:pPr>
    </w:p>
    <w:p w:rsidR="00A66208" w:rsidRDefault="00A66208">
      <w:pPr>
        <w:jc w:val="both"/>
      </w:pPr>
    </w:p>
    <w:p w:rsidR="00A66208" w:rsidRDefault="00A66208">
      <w:pPr>
        <w:jc w:val="both"/>
      </w:pPr>
      <w:r>
        <w:t xml:space="preserve">          Официальный курс тенге по отношению к доллару составил на конец 2000 года 144,50 тенге, к российскому рублю - 5,16 тенге, к евро - 136,21 тенге </w:t>
      </w:r>
      <w:r>
        <w:rPr>
          <w:i/>
          <w:iCs/>
        </w:rPr>
        <w:t>(рис.2.2)</w:t>
      </w:r>
      <w:r>
        <w:t>.</w:t>
      </w:r>
    </w:p>
    <w:p w:rsidR="00A66208" w:rsidRDefault="00A66208">
      <w:pPr>
        <w:jc w:val="both"/>
      </w:pPr>
    </w:p>
    <w:p w:rsidR="00A66208" w:rsidRDefault="00A66208">
      <w:pPr>
        <w:jc w:val="both"/>
      </w:pPr>
    </w:p>
    <w:p w:rsidR="00A66208" w:rsidRDefault="00A66208">
      <w:pPr>
        <w:jc w:val="both"/>
      </w:pPr>
      <w:r>
        <w:t>Рисунок 2.2</w:t>
      </w:r>
    </w:p>
    <w:p w:rsidR="00A66208" w:rsidRDefault="00A66208">
      <w:pPr>
        <w:jc w:val="both"/>
      </w:pPr>
      <w:r>
        <w:rPr>
          <w:b/>
          <w:bCs/>
        </w:rPr>
        <w:t>Официальные курсы тенге к иностранным валютам, на конец периода</w:t>
      </w:r>
    </w:p>
    <w:p w:rsidR="00A66208" w:rsidRDefault="00151B29">
      <w:pPr>
        <w:jc w:val="both"/>
      </w:pPr>
      <w:r>
        <w:pict>
          <v:shape id="_x0000_i1026" type="#_x0000_t75" alt="" style="width:417.75pt;height:134.25pt">
            <v:imagedata r:id="rId8" o:title=""/>
          </v:shape>
        </w:pict>
      </w:r>
    </w:p>
    <w:p w:rsidR="00A66208" w:rsidRDefault="00A66208">
      <w:pPr>
        <w:jc w:val="both"/>
      </w:pPr>
    </w:p>
    <w:p w:rsidR="00A66208" w:rsidRDefault="00A66208">
      <w:pPr>
        <w:jc w:val="both"/>
      </w:pPr>
    </w:p>
    <w:p w:rsidR="00A66208" w:rsidRDefault="00A66208">
      <w:pPr>
        <w:jc w:val="both"/>
      </w:pPr>
      <w:r>
        <w:t xml:space="preserve">          Сохранение умеренных темпов девальвации тенге способствовало дальнейшему восстановлению ценовых паритетов по отношению к странам - основным торговым партнерам. Относительно стран СНГ индекс реального эффективного обменного курса тенге (REER) снизился с начала года на 7,6%, что было связано с реальным укреплением российского рубля на 8,5%. В целом за год тенге реально укрепился по отношению к корзине валют остальных стран на 16% (в основном по причине девальвации евро на 11,3% в среднем за год). В итоге за 2000 год по группе 20 стран - торговых партнеров индекс REER повысился всего на 2,8%. Динамика изменения индексов реального эффективного обменного курса в 1998-2000 гг. приведена на рис. 2.3.</w:t>
      </w:r>
    </w:p>
    <w:p w:rsidR="00A66208" w:rsidRDefault="00A66208">
      <w:pPr>
        <w:jc w:val="both"/>
        <w:rPr>
          <w:lang w:val="en-GB"/>
        </w:rPr>
      </w:pPr>
    </w:p>
    <w:p w:rsidR="00A66208" w:rsidRDefault="00A66208">
      <w:pPr>
        <w:jc w:val="both"/>
        <w:rPr>
          <w:lang w:val="en-GB"/>
        </w:rPr>
      </w:pPr>
    </w:p>
    <w:p w:rsidR="00A66208" w:rsidRDefault="00A66208">
      <w:pPr>
        <w:jc w:val="both"/>
      </w:pPr>
    </w:p>
    <w:p w:rsidR="00A66208" w:rsidRDefault="00A66208">
      <w:pPr>
        <w:jc w:val="both"/>
      </w:pPr>
      <w:r>
        <w:t>Рисунок 2.3.</w:t>
      </w:r>
    </w:p>
    <w:p w:rsidR="00A66208" w:rsidRDefault="00A66208">
      <w:pPr>
        <w:jc w:val="both"/>
      </w:pPr>
      <w:r>
        <w:rPr>
          <w:b/>
          <w:bCs/>
        </w:rPr>
        <w:t>Динамика реального эффективного обменного курса тенге (1996=100%)</w:t>
      </w:r>
    </w:p>
    <w:p w:rsidR="00A66208" w:rsidRDefault="00151B29">
      <w:pPr>
        <w:jc w:val="both"/>
      </w:pPr>
      <w:r>
        <w:pict>
          <v:shape id="_x0000_i1027" type="#_x0000_t75" alt="" style="width:417.75pt;height:162pt">
            <v:imagedata r:id="rId9" o:title=""/>
          </v:shape>
        </w:pict>
      </w:r>
    </w:p>
    <w:p w:rsidR="00A66208" w:rsidRDefault="00A66208">
      <w:pPr>
        <w:jc w:val="both"/>
      </w:pPr>
    </w:p>
    <w:p w:rsidR="00A66208" w:rsidRDefault="00A66208">
      <w:pPr>
        <w:jc w:val="both"/>
      </w:pPr>
    </w:p>
    <w:p w:rsidR="00A66208" w:rsidRDefault="00A66208">
      <w:pPr>
        <w:jc w:val="both"/>
        <w:rPr>
          <w:b/>
          <w:bCs/>
        </w:rPr>
      </w:pPr>
      <w:r>
        <w:rPr>
          <w:b/>
          <w:bCs/>
        </w:rPr>
        <w:t>3.1. Инструменты денежно - кредитной политики</w:t>
      </w:r>
    </w:p>
    <w:p w:rsidR="00A66208" w:rsidRDefault="00A66208">
      <w:pPr>
        <w:jc w:val="both"/>
        <w:rPr>
          <w:b/>
          <w:bCs/>
        </w:rPr>
      </w:pPr>
    </w:p>
    <w:p w:rsidR="00A66208" w:rsidRDefault="00A66208">
      <w:pPr>
        <w:jc w:val="both"/>
      </w:pPr>
      <w:r>
        <w:rPr>
          <w:b/>
          <w:bCs/>
        </w:rPr>
        <w:t xml:space="preserve">           Официальные ставки. </w:t>
      </w:r>
      <w:r>
        <w:t xml:space="preserve">С целью ориентации банков второго уровня на снижение ставок по кредитам Национальный Банк в течение года поддерживал ставку рефинансирования слабо положительной в реальном выражении и понижал официальные ставки. За год ставка рефинансирования снизилась с 18% до 14%, ставка по кредитам "овернайт" - с 27 до 21%, ставка по операциям "репо" - с 23 до 19% </w:t>
      </w:r>
      <w:r>
        <w:rPr>
          <w:i/>
          <w:iCs/>
        </w:rPr>
        <w:t>(рис.2.4)</w:t>
      </w:r>
      <w:r>
        <w:t>.</w:t>
      </w:r>
    </w:p>
    <w:p w:rsidR="00A66208" w:rsidRDefault="00A66208">
      <w:pPr>
        <w:jc w:val="both"/>
      </w:pPr>
      <w:r>
        <w:t>Для осуществления Национальным Банком операций по переучету векселей с 20 июня 2000 года была введена и установлена на уровне 12,5% официальная учетная (дисконтная) ставка.</w:t>
      </w:r>
    </w:p>
    <w:p w:rsidR="00A66208" w:rsidRDefault="00A66208">
      <w:pPr>
        <w:jc w:val="both"/>
      </w:pPr>
    </w:p>
    <w:p w:rsidR="00A66208" w:rsidRDefault="00A66208">
      <w:pPr>
        <w:jc w:val="both"/>
      </w:pPr>
    </w:p>
    <w:p w:rsidR="00A66208" w:rsidRDefault="00A66208">
      <w:pPr>
        <w:jc w:val="both"/>
      </w:pPr>
      <w:r>
        <w:t>Рисунок 2.4.</w:t>
      </w:r>
    </w:p>
    <w:p w:rsidR="00A66208" w:rsidRDefault="00A66208">
      <w:pPr>
        <w:jc w:val="both"/>
      </w:pPr>
      <w:r>
        <w:rPr>
          <w:b/>
          <w:bCs/>
        </w:rPr>
        <w:t>Официальные ставки Национального Банка</w:t>
      </w:r>
    </w:p>
    <w:p w:rsidR="00A66208" w:rsidRDefault="00151B29">
      <w:pPr>
        <w:jc w:val="both"/>
      </w:pPr>
      <w:r>
        <w:pict>
          <v:shape id="_x0000_i1028" type="#_x0000_t75" alt="" style="width:424.5pt;height:126.75pt">
            <v:imagedata r:id="rId10" o:title=""/>
          </v:shape>
        </w:pict>
      </w:r>
    </w:p>
    <w:p w:rsidR="00A66208" w:rsidRDefault="00A66208">
      <w:pPr>
        <w:jc w:val="both"/>
      </w:pPr>
    </w:p>
    <w:p w:rsidR="00A66208" w:rsidRDefault="00A66208">
      <w:pPr>
        <w:jc w:val="both"/>
      </w:pPr>
    </w:p>
    <w:p w:rsidR="00A66208" w:rsidRDefault="00A66208">
      <w:pPr>
        <w:jc w:val="both"/>
      </w:pPr>
      <w:r>
        <w:rPr>
          <w:b/>
          <w:bCs/>
        </w:rPr>
        <w:t xml:space="preserve">             Минимальные резервные требования.</w:t>
      </w:r>
      <w:r>
        <w:t xml:space="preserve"> Для обеспечения равновесия денежного рынка и регулирования ликвидности банков с 01.05.00 г. норма обязательных резервов банков была снижена с 10 до 8% от общих депозитных обязательств банка перед небанковскими юридическими и физическими лицами.</w:t>
      </w:r>
    </w:p>
    <w:p w:rsidR="00A66208" w:rsidRDefault="00A66208">
      <w:pPr>
        <w:jc w:val="both"/>
      </w:pPr>
      <w:r>
        <w:t xml:space="preserve">            Снижение минимальных резервных требований не привело к ослаблению защиты интересов вкладчиков и кредиторов банков, а напротив, позволило банкам более эффективно распоряжаться привлеченными средствами и увеличить кредитование реального сектора экономики.</w:t>
      </w:r>
    </w:p>
    <w:p w:rsidR="00A66208" w:rsidRDefault="00A66208">
      <w:pPr>
        <w:jc w:val="both"/>
      </w:pPr>
      <w:r>
        <w:rPr>
          <w:b/>
          <w:bCs/>
        </w:rPr>
        <w:t xml:space="preserve">            Операции на открытом рынке.</w:t>
      </w:r>
      <w:r>
        <w:t xml:space="preserve"> С целью регулирования ликвидности в банковской системе и стерилизации денежной массы в 2000 году Национальным Банком проводились на открытом рынке операции по покупке и продаже ценных бумаг, операции РЕПО и обратного РЕПО </w:t>
      </w:r>
      <w:r>
        <w:rPr>
          <w:i/>
          <w:iCs/>
        </w:rPr>
        <w:t>(табл. 2.1)</w:t>
      </w:r>
      <w:r>
        <w:t>.</w:t>
      </w:r>
    </w:p>
    <w:p w:rsidR="00A66208" w:rsidRDefault="00A66208">
      <w:pPr>
        <w:jc w:val="both"/>
      </w:pPr>
    </w:p>
    <w:p w:rsidR="00A66208" w:rsidRDefault="00A66208">
      <w:pPr>
        <w:jc w:val="both"/>
      </w:pPr>
    </w:p>
    <w:p w:rsidR="00A66208" w:rsidRDefault="00A66208">
      <w:pPr>
        <w:jc w:val="both"/>
      </w:pPr>
      <w:r>
        <w:t>Таблица 2.1.</w:t>
      </w:r>
    </w:p>
    <w:p w:rsidR="00A66208" w:rsidRDefault="00A66208">
      <w:pPr>
        <w:jc w:val="both"/>
        <w:rPr>
          <w:b/>
          <w:bCs/>
        </w:rPr>
      </w:pPr>
      <w:r>
        <w:rPr>
          <w:b/>
          <w:bCs/>
        </w:rPr>
        <w:t>Операции Национального Банка на открытом рынке</w:t>
      </w:r>
    </w:p>
    <w:p w:rsidR="00A66208" w:rsidRDefault="00A66208">
      <w:pPr>
        <w:jc w:val="both"/>
        <w:rPr>
          <w:b/>
          <w:bCs/>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07"/>
        <w:gridCol w:w="1939"/>
        <w:gridCol w:w="1565"/>
        <w:gridCol w:w="1586"/>
      </w:tblGrid>
      <w:tr w:rsidR="00A6620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rPr>
                <w:b/>
                <w:bCs/>
              </w:rPr>
              <w:t>Операции</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rPr>
                <w:b/>
                <w:bCs/>
              </w:rPr>
              <w:t>объем, млрд. тенге</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rPr>
                <w:b/>
                <w:bCs/>
              </w:rPr>
              <w:t>доходность, %</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rPr>
                <w:b/>
                <w:bCs/>
              </w:rPr>
              <w:t>дюрация, дней</w:t>
            </w:r>
          </w:p>
        </w:tc>
      </w:tr>
      <w:tr w:rsidR="00A6620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Покупка ГЦБ</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16,2</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10,78</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954,08</w:t>
            </w:r>
          </w:p>
        </w:tc>
      </w:tr>
      <w:tr w:rsidR="00A6620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Продажа ГЦБ</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18,0</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13,33</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34,51</w:t>
            </w:r>
          </w:p>
        </w:tc>
      </w:tr>
      <w:tr w:rsidR="00A66208">
        <w:trPr>
          <w:cantSplit/>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РЕПО</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ascii="Arial" w:eastAsia="Arial Unicode MS" w:hAnsi="Arial" w:cs="Arial"/>
                <w:szCs w:val="18"/>
              </w:rPr>
            </w:pPr>
            <w:r>
              <w:rPr>
                <w:rFonts w:ascii="Arial" w:hAnsi="Arial" w:cs="Arial"/>
                <w:szCs w:val="18"/>
              </w:rPr>
              <w:t> </w:t>
            </w:r>
          </w:p>
        </w:tc>
        <w:tc>
          <w:tcPr>
            <w:tcW w:w="0" w:type="auto"/>
            <w:vMerge w:val="restart"/>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5,61</w:t>
            </w:r>
          </w:p>
        </w:tc>
        <w:tc>
          <w:tcPr>
            <w:tcW w:w="0" w:type="auto"/>
            <w:vMerge w:val="restart"/>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14,84</w:t>
            </w:r>
          </w:p>
        </w:tc>
      </w:tr>
      <w:tr w:rsidR="00A66208">
        <w:trPr>
          <w:cantSplit/>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открытие</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52,4</w:t>
            </w:r>
          </w:p>
        </w:tc>
        <w:tc>
          <w:tcPr>
            <w:tcW w:w="0" w:type="auto"/>
            <w:vMerge/>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p>
        </w:tc>
      </w:tr>
      <w:tr w:rsidR="00A66208">
        <w:trPr>
          <w:cantSplit/>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закрытие</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51,4</w:t>
            </w:r>
          </w:p>
        </w:tc>
        <w:tc>
          <w:tcPr>
            <w:tcW w:w="0" w:type="auto"/>
            <w:vMerge/>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p>
        </w:tc>
      </w:tr>
      <w:tr w:rsidR="00A66208">
        <w:trPr>
          <w:cantSplit/>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обратное РЕПО</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ascii="Arial" w:eastAsia="Arial Unicode MS" w:hAnsi="Arial" w:cs="Arial"/>
                <w:szCs w:val="18"/>
              </w:rPr>
            </w:pPr>
            <w:r>
              <w:rPr>
                <w:rFonts w:ascii="Arial" w:hAnsi="Arial" w:cs="Arial"/>
                <w:szCs w:val="18"/>
              </w:rPr>
              <w:t> </w:t>
            </w:r>
          </w:p>
        </w:tc>
        <w:tc>
          <w:tcPr>
            <w:tcW w:w="0" w:type="auto"/>
            <w:vMerge w:val="restart"/>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8,51</w:t>
            </w:r>
          </w:p>
        </w:tc>
        <w:tc>
          <w:tcPr>
            <w:tcW w:w="0" w:type="auto"/>
            <w:vMerge w:val="restart"/>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7,12</w:t>
            </w:r>
          </w:p>
        </w:tc>
      </w:tr>
      <w:tr w:rsidR="00A66208">
        <w:trPr>
          <w:cantSplit/>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открытие</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10,4</w:t>
            </w:r>
          </w:p>
        </w:tc>
        <w:tc>
          <w:tcPr>
            <w:tcW w:w="0" w:type="auto"/>
            <w:vMerge/>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p>
        </w:tc>
      </w:tr>
      <w:tr w:rsidR="00A66208">
        <w:trPr>
          <w:cantSplit/>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закрытие</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4,4</w:t>
            </w:r>
          </w:p>
        </w:tc>
        <w:tc>
          <w:tcPr>
            <w:tcW w:w="0" w:type="auto"/>
            <w:vMerge/>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p>
        </w:tc>
      </w:tr>
    </w:tbl>
    <w:p w:rsidR="00A66208" w:rsidRDefault="00A66208">
      <w:pPr>
        <w:jc w:val="both"/>
        <w:rPr>
          <w:b/>
          <w:bCs/>
        </w:rPr>
      </w:pPr>
    </w:p>
    <w:p w:rsidR="00A66208" w:rsidRDefault="00A66208">
      <w:pPr>
        <w:jc w:val="both"/>
        <w:rPr>
          <w:b/>
          <w:bCs/>
        </w:rPr>
      </w:pPr>
    </w:p>
    <w:p w:rsidR="00A66208" w:rsidRDefault="00A66208">
      <w:pPr>
        <w:ind w:firstLine="720"/>
        <w:jc w:val="both"/>
      </w:pPr>
      <w:r>
        <w:rPr>
          <w:b/>
          <w:bCs/>
        </w:rPr>
        <w:t xml:space="preserve">Займы Национального Банка. </w:t>
      </w:r>
      <w:r>
        <w:t>В 2000 году Национальный Банк предоставил займы на 1401 млн. тенге, из них банкам второго уровня - 1311,2 млн. тенге, организациям - 89,8 млн. тенге.</w:t>
      </w:r>
    </w:p>
    <w:p w:rsidR="00A66208" w:rsidRDefault="00A66208">
      <w:pPr>
        <w:ind w:firstLine="720"/>
        <w:jc w:val="both"/>
      </w:pPr>
      <w:r>
        <w:t>Для финансирования золотодобывающей промышленности - предприятия "АБС Балхаш", создан консорциум банков на принципах синдицированного банковского кредитования. Национальный Банк принял на себя частичное финансирование данного консорциума (699,2 млн. тенге или 4,9 млн. долл.).</w:t>
      </w:r>
    </w:p>
    <w:p w:rsidR="00A66208" w:rsidRDefault="00A66208">
      <w:pPr>
        <w:ind w:firstLine="720"/>
        <w:jc w:val="both"/>
      </w:pPr>
      <w:r>
        <w:t>В связи с погашением Национальным Банком задолженности перед ЕБРР, произведено переоформление займа, предоставленного Национальным Банком ОАО "Казкоммерцбанк" в рамках займа ЕБРР по программе развития малых и средних предприятий. На основании Консорциального соглашения данный заем переоформлен в банковский заем на 4,3 млн. долл. (612,0 млн. тенге).</w:t>
      </w:r>
    </w:p>
    <w:p w:rsidR="00A66208" w:rsidRDefault="00A66208">
      <w:pPr>
        <w:ind w:firstLine="720"/>
        <w:jc w:val="both"/>
      </w:pPr>
      <w:r>
        <w:t>Продолжено предоставление займа специального назначения для построения резервного центра платежной системы КЦМР. В 2000 году предоставлено КЦМР 89,8 млн. тенге или 573,5 млн. долл. (за 1999-2000 гг. предоставлено 601,5 млн. тенге).</w:t>
      </w:r>
    </w:p>
    <w:p w:rsidR="00A66208" w:rsidRDefault="00A66208">
      <w:pPr>
        <w:jc w:val="both"/>
      </w:pPr>
      <w:r>
        <w:t>Национальным Банком проведена работа по практическому внедрению системы переучета векселей. Определены первоклассные эмитенты векселей - ЗАО "НАК Казатомпром" и ОАО "Казахтелеком", заключены Генеральные соглашения о переучете векселей с 12 банками. Уже в декабре 2000 года к переучету принято 6 векселей ЗАО "НАК Казатомпром" сроком погашения до 6 месяцев на 7,1 млн. тенге.</w:t>
      </w:r>
    </w:p>
    <w:p w:rsidR="00A66208" w:rsidRDefault="00A66208">
      <w:pPr>
        <w:ind w:firstLine="720"/>
        <w:jc w:val="both"/>
      </w:pPr>
      <w:r>
        <w:t>Национальный Банк заключил договора о предоставлении займа "овернайт" с 17 банками второго уровня. Лимиты получения в Национальном Банке займа "овернайт" ежемесячно доводились до банков, однако в связи с достаточной ликвидностью банковской системы в 2000 году банки не обращались за получением займа "овернайт".</w:t>
      </w:r>
    </w:p>
    <w:p w:rsidR="00A66208" w:rsidRDefault="00A66208">
      <w:pPr>
        <w:jc w:val="both"/>
      </w:pPr>
      <w:r>
        <w:t>Возврат кредитов в 2000 году составил 238,2 млн. тенге.</w:t>
      </w:r>
    </w:p>
    <w:p w:rsidR="00A66208" w:rsidRDefault="00A66208">
      <w:pPr>
        <w:ind w:firstLine="720"/>
        <w:jc w:val="both"/>
      </w:pPr>
      <w:r>
        <w:t>Ежемесячно проводилась классификация ссудного портфеля и создавались провизии. Всего в 2000 году было создано провизий на сумму 7,1 млрд. тенге.</w:t>
      </w:r>
    </w:p>
    <w:p w:rsidR="00A66208" w:rsidRDefault="00A66208">
      <w:pPr>
        <w:ind w:firstLine="720"/>
        <w:jc w:val="both"/>
      </w:pPr>
      <w:r>
        <w:t>Долг заемщиков по убыточным банковским займам Национального Банка, предоставленным в 1994-1996 гг., на 01.01.01 г. составил 6,1 млрд. тенге, в т.ч. основной долг - 2,3 млрд. тенге, неуплаченное вознаграждение и неустойка - 3,8 млрд. тенге.</w:t>
      </w:r>
    </w:p>
    <w:p w:rsidR="00A66208" w:rsidRDefault="00A66208">
      <w:pPr>
        <w:jc w:val="both"/>
      </w:pPr>
      <w:r>
        <w:t>Более 80% заемщиков, имеющих просроченные долги по банковским займам Национального Банка, в настоящее время находятся в процедуре ликвидации, или же к ним применена процедура банкротства. Просроченная задолженность по ним составила 4,7 млрд. тенге, сумма задолженности по основному долгу - 2,2 млрд. тенге.</w:t>
      </w:r>
    </w:p>
    <w:p w:rsidR="00A66208" w:rsidRDefault="00A66208">
      <w:pPr>
        <w:ind w:firstLine="720"/>
        <w:jc w:val="both"/>
      </w:pPr>
      <w:r>
        <w:t>Возвращено убыточных банковских займов заемщиками на 2,1 млн. тенге.</w:t>
      </w:r>
    </w:p>
    <w:p w:rsidR="00A66208" w:rsidRDefault="00A66208">
      <w:pPr>
        <w:ind w:firstLine="720"/>
        <w:jc w:val="both"/>
      </w:pPr>
      <w:r>
        <w:t>В связи с завершением процесса ликвидации аннулирована просроченная задолженность по 9 банкам (0,8 млрд. тенге), имеющим долг по банковским займам Национального Банка. Кроме того, аннулированы долги учреждений Министерства внутренних дел на 71,9 млн. тенге.</w:t>
      </w:r>
    </w:p>
    <w:p w:rsidR="00A66208" w:rsidRDefault="00A66208">
      <w:pPr>
        <w:ind w:firstLine="720"/>
        <w:jc w:val="both"/>
      </w:pPr>
      <w:r>
        <w:t>По всем заемщикам Национальным Банком проведена претензионно - исковая работа.</w:t>
      </w:r>
    </w:p>
    <w:p w:rsidR="00A66208" w:rsidRDefault="00A66208">
      <w:pPr>
        <w:ind w:firstLine="720"/>
        <w:jc w:val="both"/>
      </w:pPr>
    </w:p>
    <w:p w:rsidR="00A66208" w:rsidRDefault="00A66208">
      <w:pPr>
        <w:jc w:val="both"/>
        <w:rPr>
          <w:b/>
          <w:bCs/>
        </w:rPr>
      </w:pPr>
      <w:r>
        <w:rPr>
          <w:b/>
          <w:bCs/>
        </w:rPr>
        <w:t>3.2. Денежные агрегаты</w:t>
      </w:r>
    </w:p>
    <w:p w:rsidR="00A66208" w:rsidRDefault="00A66208">
      <w:pPr>
        <w:jc w:val="both"/>
        <w:rPr>
          <w:b/>
          <w:bCs/>
        </w:rPr>
      </w:pPr>
    </w:p>
    <w:p w:rsidR="00A66208" w:rsidRDefault="00A66208">
      <w:pPr>
        <w:jc w:val="both"/>
      </w:pPr>
      <w:r>
        <w:t>Поведение денежных агрегатов в течение отчетного периода было обусловлено характером сложившихся в прошлом тенденций. Так, в начале года наблюдалось сезонное снижение денежных агрегатов. Денежная база и наличные деньги в обращении продолжали снижаться в течение I квартала и превысили уровень на начало года только в сентябре. Кривые темпов роста денежной базы и денежной массы (рис.2.5, 2.6) показывают, что в течение года наблюдается синхронность в их поведении. Однако, вследствие опережающего темпа роста депозитов в банковской системе, денежная масса, уже в мае превысила уровень на начало года.</w:t>
      </w:r>
    </w:p>
    <w:p w:rsidR="00A66208" w:rsidRDefault="00A66208">
      <w:pPr>
        <w:jc w:val="both"/>
      </w:pPr>
    </w:p>
    <w:p w:rsidR="00A66208" w:rsidRDefault="00A66208">
      <w:pPr>
        <w:jc w:val="both"/>
      </w:pPr>
    </w:p>
    <w:p w:rsidR="00A66208" w:rsidRDefault="00A66208">
      <w:pPr>
        <w:jc w:val="both"/>
        <w:rPr>
          <w:i/>
          <w:iCs/>
        </w:rPr>
      </w:pPr>
      <w:r>
        <w:rPr>
          <w:i/>
          <w:iCs/>
        </w:rPr>
        <w:t>Рисунок.2.5.</w:t>
      </w:r>
    </w:p>
    <w:p w:rsidR="00A66208" w:rsidRDefault="00A66208">
      <w:pPr>
        <w:jc w:val="both"/>
        <w:rPr>
          <w:b/>
          <w:bCs/>
          <w:i/>
          <w:iCs/>
        </w:rPr>
      </w:pPr>
      <w:r>
        <w:rPr>
          <w:b/>
          <w:bCs/>
          <w:i/>
          <w:iCs/>
        </w:rPr>
        <w:t>Динамика изменения денежных агрегатов (к пред. месяцу, %)</w:t>
      </w:r>
    </w:p>
    <w:p w:rsidR="00A66208" w:rsidRDefault="00151B29">
      <w:pPr>
        <w:jc w:val="both"/>
        <w:rPr>
          <w:i/>
          <w:iCs/>
          <w:lang w:val="en-GB"/>
        </w:rPr>
      </w:pPr>
      <w:r>
        <w:pict>
          <v:shape id="_x0000_i1029" type="#_x0000_t75" alt="" style="width:417pt;height:158.25pt">
            <v:imagedata r:id="rId11" o:title=""/>
          </v:shape>
        </w:pict>
      </w:r>
    </w:p>
    <w:p w:rsidR="00A66208" w:rsidRDefault="00A66208">
      <w:pPr>
        <w:jc w:val="both"/>
        <w:rPr>
          <w:i/>
          <w:iCs/>
        </w:rPr>
      </w:pPr>
      <w:r>
        <w:rPr>
          <w:i/>
          <w:iCs/>
        </w:rPr>
        <w:t>Рисунок 2.6.</w:t>
      </w:r>
    </w:p>
    <w:p w:rsidR="00A66208" w:rsidRDefault="00A66208">
      <w:pPr>
        <w:jc w:val="both"/>
        <w:rPr>
          <w:b/>
          <w:bCs/>
          <w:i/>
          <w:iCs/>
        </w:rPr>
      </w:pPr>
      <w:r>
        <w:rPr>
          <w:b/>
          <w:bCs/>
          <w:i/>
          <w:iCs/>
        </w:rPr>
        <w:t>Динамика изменения агрегатов (номинальное к началу года, %)</w:t>
      </w:r>
    </w:p>
    <w:p w:rsidR="00A66208" w:rsidRDefault="00151B29">
      <w:pPr>
        <w:jc w:val="both"/>
      </w:pPr>
      <w:r>
        <w:pict>
          <v:shape id="_x0000_i1030" type="#_x0000_t75" alt="" style="width:424.5pt;height:146.25pt">
            <v:imagedata r:id="rId12" o:title=""/>
          </v:shape>
        </w:pict>
      </w:r>
    </w:p>
    <w:p w:rsidR="00A66208" w:rsidRDefault="00A66208">
      <w:pPr>
        <w:jc w:val="both"/>
      </w:pPr>
    </w:p>
    <w:p w:rsidR="00A66208" w:rsidRDefault="00A66208">
      <w:pPr>
        <w:jc w:val="both"/>
      </w:pPr>
    </w:p>
    <w:p w:rsidR="00A66208" w:rsidRDefault="00A66208">
      <w:pPr>
        <w:ind w:firstLine="720"/>
        <w:jc w:val="both"/>
      </w:pPr>
      <w:r>
        <w:rPr>
          <w:b/>
          <w:bCs/>
        </w:rPr>
        <w:t>Денежная база.</w:t>
      </w:r>
      <w:r>
        <w:t xml:space="preserve"> Увеличение поступления иностранной валюты на счета Министерства финансов в Национальном Банке и покупки Национальным Банком валюты на внутреннем валютном рынке способствовали значительному увеличению чистых международных резервов Национального Банка на 37,6% до 2093,9 млн. долл. Однако, денежная база расширилась всего на 5,7% до 134,0 млрд. тенге. Это было связано с тем, что, начиная со второй половины года, Национальный Банк активизировал операции по стерилизации избыточной ликвидности. Рост чистых международных резервов Национального Банка был нейтрализован увеличением объемов краткосрочных нот в обращении в 7,9 раза (или на 43,0 млрд. тенге) и увеличением депозитов Правительства в 2,3 раза (или на 26,8 млрд. тенге) .</w:t>
      </w:r>
    </w:p>
    <w:p w:rsidR="00A66208" w:rsidRDefault="00A66208">
      <w:pPr>
        <w:ind w:firstLine="720"/>
        <w:jc w:val="both"/>
      </w:pPr>
      <w:r>
        <w:rPr>
          <w:b/>
          <w:bCs/>
        </w:rPr>
        <w:t>Денежная масса.</w:t>
      </w:r>
      <w:r>
        <w:t xml:space="preserve"> В 2000 году позитивной была и динамика активов банковской системы. Так, чистые внешние активы банковской системы выросли на 15,9% (или на 294,9 млн. долл.), а внутренние активы банковской системы увеличились более чем в 5,2 раза (или на 71,3 млрд. тенге). Рост внутренних активов банковской системы произошел за счет значительного, более чем в 1,8 раза (или на 137 млрд. тенге), увеличения требований к другим секторам экономики (несмотря на снижение чистых требований к Правительству банковской системы на 26,9% и чистых прочих внутренних активов банковской системы - на 30%). Все указанные факторы способствовали увеличению денежной массы на 45,9% до 399,5 млрд. тенге.</w:t>
      </w:r>
    </w:p>
    <w:p w:rsidR="00A66208" w:rsidRDefault="00A66208">
      <w:pPr>
        <w:ind w:firstLine="720"/>
        <w:jc w:val="both"/>
      </w:pPr>
      <w:r>
        <w:t>В структуре денежной массы сохранилась позитивная тенденция роста депозитов в банковской системе - с начала года ее доля выросла с 62,2 до 73,4%, что вызвало увеличение денежного мультипликатора с 2,16 до 2,98.</w:t>
      </w:r>
    </w:p>
    <w:p w:rsidR="00A66208" w:rsidRDefault="00A66208">
      <w:pPr>
        <w:ind w:firstLine="720"/>
        <w:jc w:val="both"/>
      </w:pPr>
      <w:r>
        <w:t>Наличные деньги в обращении выросли незначительно - на 2,8% до 106,4 млрд. тенге, так как на начало года их уровень был высоким за счет выплаты накопленной задолженности по пенсиям, пособиям и социальным выплатам в декабре 1999 года. В течение I квартала наличные деньги в обращении продолжали снижаться, что объясняется в основном сезонным фактором, а с апреля они начали увеличиваться. Наибольший темп роста наличных денег в обращении был отмечен в декабре (на 9,4%) и в сентябре (на 7,5% до 106,1 млрд. тенге), что также объясняется циклическим характером их поведения.</w:t>
      </w:r>
    </w:p>
    <w:p w:rsidR="00A66208" w:rsidRDefault="00A66208">
      <w:pPr>
        <w:ind w:firstLine="720"/>
        <w:jc w:val="both"/>
      </w:pPr>
      <w:r>
        <w:t>Значительный рост денежной массы привел к увеличению уровня монетизации экономики с 13,6% в 1999 году до 15,4% в 2000 году (самого высокого показателя со дня независимости Казахстана).</w:t>
      </w:r>
    </w:p>
    <w:p w:rsidR="00A66208" w:rsidRDefault="00A66208">
      <w:pPr>
        <w:ind w:firstLine="720"/>
        <w:jc w:val="both"/>
      </w:pPr>
    </w:p>
    <w:p w:rsidR="00A66208" w:rsidRDefault="00A66208">
      <w:pPr>
        <w:jc w:val="both"/>
        <w:rPr>
          <w:b/>
          <w:bCs/>
        </w:rPr>
      </w:pPr>
      <w:r>
        <w:rPr>
          <w:b/>
          <w:bCs/>
        </w:rPr>
        <w:t>3.3. Валютное регулирование и контроль</w:t>
      </w:r>
    </w:p>
    <w:p w:rsidR="00A66208" w:rsidRDefault="00A66208">
      <w:pPr>
        <w:jc w:val="both"/>
        <w:rPr>
          <w:b/>
          <w:bCs/>
        </w:rPr>
      </w:pPr>
    </w:p>
    <w:p w:rsidR="00A66208" w:rsidRDefault="00A66208">
      <w:pPr>
        <w:ind w:firstLine="720"/>
        <w:jc w:val="both"/>
      </w:pPr>
      <w:r>
        <w:t>В 2000 году механизм валютного регулирования и контроля совершенствовался с учетом ситуации на внешнем и внутреннем валютном рынке, развития новых финансовых инструментов, изменения условий и конъюнктуры инвестирования.</w:t>
      </w:r>
    </w:p>
    <w:p w:rsidR="00A66208" w:rsidRDefault="00A66208">
      <w:pPr>
        <w:ind w:firstLine="720"/>
        <w:jc w:val="both"/>
      </w:pPr>
      <w:r>
        <w:t>Принятие Закона "О внесении изменений и дополнений в некоторые законодательные акты РК по вопросам валютного регулирования" создает возможность выработки более гибкого механизма регулирования путей оттока капитала, расширения перечня норм, нарушение которых влечет за собой наказание в соответствии с валютным законодательством. Изъятие субъектов банковской и страховой деятельности из сферы малого предпринимательства позволит усилить надзор за данными организациями, изменить требования к их деятельности с целью укрепления устойчивости финансовой системы и защиты интересов потребителей.</w:t>
      </w:r>
    </w:p>
    <w:p w:rsidR="00A66208" w:rsidRDefault="00A66208">
      <w:pPr>
        <w:ind w:firstLine="720"/>
        <w:jc w:val="both"/>
      </w:pPr>
      <w:r>
        <w:t>Внесены изменения в нормативную правовую базу, усиливающие требования к помещениям обменных пунктов, а также применяемым техническим средствам определения подлинности денежных знаков. Кроме того, внесенные изменения позволяют автоматизировать работу по учету обменных операций.</w:t>
      </w:r>
    </w:p>
    <w:p w:rsidR="00A66208" w:rsidRDefault="00A66208">
      <w:pPr>
        <w:ind w:firstLine="720"/>
        <w:jc w:val="both"/>
      </w:pPr>
      <w:r>
        <w:t>Была продолжена работа по совершенствованию экспортно-импортного валютного контроля. Национальным Банком были разработаны предложения по совершенствованию механизма экспортно-импортного валютного контроля, а также проект новой редакции Инструкции об организации экспортно-импортного валютного контроля в Республике Казахстан.</w:t>
      </w:r>
    </w:p>
    <w:p w:rsidR="00A66208" w:rsidRDefault="00A66208">
      <w:pPr>
        <w:ind w:firstLine="720"/>
        <w:jc w:val="both"/>
      </w:pPr>
      <w:r>
        <w:t>В проекте Инструкции нашли отражение вопросы, ранее не урегулированные законодательством: порядок осуществления валютного контроля по экспортно-импортным сделкам, предусматривающий использование вексельной формы расчетов, основания и порядок закрытия паспортов сделок. Кроме того, разграничены компетенция, функции и полномочия органов и агентов валютного контроля, а также изменены направления информационных потоков между ними.</w:t>
      </w:r>
    </w:p>
    <w:p w:rsidR="00A66208" w:rsidRDefault="00A66208">
      <w:pPr>
        <w:ind w:firstLine="720"/>
        <w:jc w:val="both"/>
      </w:pPr>
      <w:r>
        <w:t>Практическая реализация внесенных предложений позволит усилить контроль за поступлением в страну экспортной выручки и товаров в счет погашения платежей по импорту.</w:t>
      </w:r>
    </w:p>
    <w:p w:rsidR="00A66208" w:rsidRDefault="00A66208">
      <w:pPr>
        <w:ind w:firstLine="720"/>
        <w:jc w:val="both"/>
      </w:pPr>
      <w:r>
        <w:t>Для усиления мониторинга за движением иностранной валюты по проводимым экспортно-импортным операциям, введены два новых вида лицензируемых операций - зачисление иностранной валюты, получаемой резидентом в качестве кредита от нерезидента, на счета третьих лиц, а также получение резидентами экспортной валютной выручки в срок свыше 120 дней.</w:t>
      </w:r>
    </w:p>
    <w:p w:rsidR="00A66208" w:rsidRDefault="00A66208">
      <w:pPr>
        <w:ind w:firstLine="720"/>
        <w:jc w:val="both"/>
      </w:pPr>
      <w:r>
        <w:t>В целях реализации правительственной программы развития рынка ценных бумаг, был введен упрощенный порядок лицензирования таких операций для компаний по управлению пенсионными активами. В 2000 году выдано 6 генеральных лицензий на инвестирование пенсионных активов в ценные бумаги, эмитируемые нерезидентами.</w:t>
      </w:r>
    </w:p>
    <w:p w:rsidR="00A66208" w:rsidRDefault="00A66208">
      <w:pPr>
        <w:ind w:firstLine="720"/>
        <w:jc w:val="both"/>
      </w:pPr>
      <w:r>
        <w:t>Необходимость унификации требований по вывозу наличной иностранной валюты в странах-участниках Таможенного союза потребовала внесения изменений в требования по представлению физическими лицами документов о легальности происхождения валюты при ее вывозе из Республики Казахстан. Если ранее требовалось предоставление в таможенные органы документов на всю сумму вывозимой валюты, то теперь представляются документы только на сумму, превышающую установленный лимит. В Республике Казахстан норма вывоза наличной иностранной валюты составляет эквивалент 3 тыс. долл. США.</w:t>
      </w:r>
    </w:p>
    <w:p w:rsidR="00A66208" w:rsidRDefault="00A66208">
      <w:pPr>
        <w:ind w:firstLine="720"/>
        <w:jc w:val="both"/>
      </w:pPr>
      <w:r>
        <w:t>Одной из основных форм валютного контроля была проверка соблюдения норм валютного законодательства субъектами валютного рынка. Проведено 15 проверок банков, 3 проверки юридических лиц, рассмотрено 461 материалов проверок уполномоченных организаций и 10 материалов проверок уполномоченных банков, проведенных областными филиалами Национального Банка.</w:t>
      </w:r>
    </w:p>
    <w:p w:rsidR="00A66208" w:rsidRDefault="00A66208">
      <w:pPr>
        <w:ind w:firstLine="720"/>
        <w:jc w:val="both"/>
      </w:pPr>
      <w:r>
        <w:t>Увеличилось количество юридических лиц, обратившихся в Национальный Банк за лицензией на проведение операций, связанных с движением капитала. Так, если в 1999 году была выдана 121 лицензия на проведение таких операций, то в 2000 году было выдано 214 таких лицензий. В структуре выданных лицензий отмечена тенденция роста количества лицензий на кредитование нерезидентов по импортным сделкам, что объясняется увеличением охвата валютным контролем импортных сделок.</w:t>
      </w:r>
    </w:p>
    <w:p w:rsidR="00A66208" w:rsidRDefault="00A66208">
      <w:pPr>
        <w:ind w:firstLine="720"/>
        <w:jc w:val="both"/>
      </w:pPr>
      <w:r>
        <w:t>В 2000 году на проведение обменных операций с наличной иностранной валютой было выдано 497 лицензий с учетом проведенной перерегистрации уполномоченных организаций, общее количество их обменных пунктов изменилось незначительно (1066 - на 01.01.01 г. по сравнению с 1137 на начало 2000 года). Общее количество банковских и небанковских обменных пунктов соответственно составило 2485 и 2402. В общем объеме проводимых обменных операций с наличной иностранной валютой преобладает доля банковских обменных пунктов (более 80% оборота).</w:t>
      </w:r>
    </w:p>
    <w:p w:rsidR="00A66208" w:rsidRDefault="00A66208">
      <w:pPr>
        <w:jc w:val="both"/>
        <w:rPr>
          <w:lang w:val="en-GB"/>
        </w:rPr>
      </w:pPr>
    </w:p>
    <w:p w:rsidR="00A66208" w:rsidRDefault="00A66208">
      <w:pPr>
        <w:jc w:val="both"/>
        <w:rPr>
          <w:b/>
          <w:bCs/>
        </w:rPr>
      </w:pPr>
      <w:r>
        <w:rPr>
          <w:b/>
          <w:bCs/>
        </w:rPr>
        <w:t>3.4. Управление золотовалютными активами</w:t>
      </w:r>
    </w:p>
    <w:p w:rsidR="00A66208" w:rsidRDefault="00A66208">
      <w:pPr>
        <w:jc w:val="both"/>
        <w:rPr>
          <w:b/>
          <w:bCs/>
        </w:rPr>
      </w:pPr>
    </w:p>
    <w:p w:rsidR="00A66208" w:rsidRDefault="00A66208">
      <w:pPr>
        <w:jc w:val="both"/>
      </w:pPr>
      <w:r>
        <w:t xml:space="preserve">Валовые золотовалютные активы Национального Банка в 2000 году увеличились на 4,6% (или на 92,6 млн. долл.) до 2,096 млрд. долл., чистые золотовалютные активы - на 37,6% (или на 572,7 млн. долл.) до 2,094 млрд. долл. </w:t>
      </w:r>
      <w:r>
        <w:rPr>
          <w:i/>
          <w:iCs/>
        </w:rPr>
        <w:t>(табл.2.2)</w:t>
      </w:r>
      <w:r>
        <w:t>.</w:t>
      </w:r>
    </w:p>
    <w:p w:rsidR="00A66208" w:rsidRDefault="00A66208">
      <w:pPr>
        <w:jc w:val="both"/>
      </w:pPr>
    </w:p>
    <w:p w:rsidR="00A66208" w:rsidRDefault="00A66208">
      <w:pPr>
        <w:jc w:val="both"/>
      </w:pPr>
      <w:r>
        <w:t>Таблица 2.2.</w:t>
      </w:r>
    </w:p>
    <w:p w:rsidR="00A66208" w:rsidRDefault="00A66208">
      <w:pPr>
        <w:pStyle w:val="1"/>
        <w:jc w:val="both"/>
      </w:pPr>
      <w:r>
        <w:t>Уровень золотовалютных активов Национального Банка</w:t>
      </w:r>
    </w:p>
    <w:p w:rsidR="00A66208" w:rsidRDefault="00A66208">
      <w:pPr>
        <w:jc w:val="both"/>
        <w:rPr>
          <w:i/>
          <w:iCs/>
        </w:rPr>
      </w:pPr>
      <w:r>
        <w:rPr>
          <w:i/>
          <w:iCs/>
        </w:rPr>
        <w:t>млн. долл.</w:t>
      </w:r>
    </w:p>
    <w:p w:rsidR="00A66208" w:rsidRDefault="00A66208">
      <w:pPr>
        <w:jc w:val="both"/>
        <w:rPr>
          <w:i/>
          <w:iCs/>
        </w:rPr>
      </w:pPr>
    </w:p>
    <w:p w:rsidR="00A66208" w:rsidRDefault="00A66208">
      <w:pPr>
        <w:jc w:val="both"/>
        <w:rPr>
          <w:i/>
          <w:iCs/>
        </w:rPr>
      </w:pPr>
    </w:p>
    <w:tbl>
      <w:tblPr>
        <w:tblW w:w="8269"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2"/>
        <w:gridCol w:w="3130"/>
        <w:gridCol w:w="990"/>
        <w:gridCol w:w="990"/>
        <w:gridCol w:w="990"/>
        <w:gridCol w:w="990"/>
        <w:gridCol w:w="997"/>
      </w:tblGrid>
      <w:tr w:rsidR="00A66208">
        <w:trPr>
          <w:trHeight w:val="272"/>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ascii="Arial" w:eastAsia="Arial Unicode MS" w:hAnsi="Arial" w:cs="Arial"/>
                <w:szCs w:val="18"/>
              </w:rPr>
            </w:pPr>
            <w:r>
              <w:rPr>
                <w:rFonts w:ascii="Arial" w:hAnsi="Arial" w:cs="Arial"/>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eastAsia="Arial Unicode MS"/>
              </w:rPr>
            </w:pPr>
            <w:r>
              <w:rPr>
                <w:b/>
                <w:bCs/>
              </w:rPr>
              <w:t>01.01.00</w:t>
            </w:r>
          </w:p>
        </w:tc>
        <w:tc>
          <w:tcPr>
            <w:tcW w:w="0" w:type="auto"/>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eastAsia="Arial Unicode MS"/>
              </w:rPr>
            </w:pPr>
            <w:r>
              <w:rPr>
                <w:b/>
                <w:bCs/>
              </w:rPr>
              <w:t>01.04.00</w:t>
            </w:r>
          </w:p>
        </w:tc>
        <w:tc>
          <w:tcPr>
            <w:tcW w:w="0" w:type="auto"/>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eastAsia="Arial Unicode MS"/>
              </w:rPr>
            </w:pPr>
            <w:r>
              <w:rPr>
                <w:b/>
                <w:bCs/>
              </w:rPr>
              <w:t>01.07.00</w:t>
            </w:r>
          </w:p>
        </w:tc>
        <w:tc>
          <w:tcPr>
            <w:tcW w:w="0" w:type="auto"/>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eastAsia="Arial Unicode MS"/>
              </w:rPr>
            </w:pPr>
            <w:r>
              <w:rPr>
                <w:b/>
                <w:bCs/>
              </w:rPr>
              <w:t>01.10.00</w:t>
            </w:r>
          </w:p>
        </w:tc>
        <w:tc>
          <w:tcPr>
            <w:tcW w:w="0" w:type="auto"/>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eastAsia="Arial Unicode MS"/>
              </w:rPr>
            </w:pPr>
            <w:r>
              <w:rPr>
                <w:b/>
                <w:bCs/>
              </w:rPr>
              <w:t>01.01.01</w:t>
            </w:r>
          </w:p>
        </w:tc>
      </w:tr>
      <w:tr w:rsidR="00A66208">
        <w:trPr>
          <w:trHeight w:val="299"/>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Валовые ЗВА</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2 003,237</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1 872,693</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1 911,101</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2 189,828</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2 095,849</w:t>
            </w:r>
          </w:p>
        </w:tc>
      </w:tr>
      <w:tr w:rsidR="00A66208">
        <w:trPr>
          <w:trHeight w:val="299"/>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ascii="Arial" w:eastAsia="Arial Unicode MS" w:hAnsi="Arial" w:cs="Arial"/>
                <w:szCs w:val="18"/>
              </w:rPr>
            </w:pPr>
            <w:r>
              <w:rPr>
                <w:rFonts w:ascii="Arial" w:hAnsi="Arial" w:cs="Arial"/>
                <w:szCs w:val="18"/>
              </w:rPr>
              <w:t> </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активы в СКВ и СДР</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1 480,460</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1 375,620</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1 386,943</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1 685,483</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1 594,308</w:t>
            </w:r>
          </w:p>
        </w:tc>
      </w:tr>
      <w:tr w:rsidR="00A66208">
        <w:trPr>
          <w:trHeight w:val="272"/>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ascii="Arial" w:eastAsia="Arial Unicode MS" w:hAnsi="Arial" w:cs="Arial"/>
                <w:szCs w:val="18"/>
              </w:rPr>
            </w:pPr>
            <w:r>
              <w:rPr>
                <w:rFonts w:ascii="Arial" w:hAnsi="Arial" w:cs="Arial"/>
                <w:szCs w:val="18"/>
              </w:rPr>
              <w:t> </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активы в драгоценных металлах</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522,777</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497,073</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524,158</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504,345</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501,541</w:t>
            </w:r>
          </w:p>
        </w:tc>
      </w:tr>
      <w:tr w:rsidR="00A66208">
        <w:trPr>
          <w:trHeight w:val="299"/>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Внешние обязательства (СКВ)</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482,057</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423,522</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3,289</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1,935</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1,975</w:t>
            </w:r>
          </w:p>
        </w:tc>
      </w:tr>
      <w:tr w:rsidR="00A66208">
        <w:trPr>
          <w:trHeight w:val="272"/>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Чистые золотовалютные активы</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1 521,180</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1 449,171</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1 907,812</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2 187,894</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2 093,873</w:t>
            </w:r>
          </w:p>
        </w:tc>
      </w:tr>
    </w:tbl>
    <w:p w:rsidR="00A66208" w:rsidRDefault="00A66208">
      <w:pPr>
        <w:jc w:val="both"/>
      </w:pPr>
    </w:p>
    <w:p w:rsidR="00A66208" w:rsidRDefault="00A66208">
      <w:pPr>
        <w:jc w:val="both"/>
        <w:rPr>
          <w:lang w:val="en-GB"/>
        </w:rPr>
      </w:pPr>
    </w:p>
    <w:p w:rsidR="00A66208" w:rsidRDefault="00A66208">
      <w:pPr>
        <w:ind w:firstLine="720"/>
        <w:jc w:val="both"/>
      </w:pPr>
      <w:r>
        <w:t>Динамика валовых золотовалютных активов в течение года имела общую тенденцию роста, что было обусловлено:</w:t>
      </w:r>
    </w:p>
    <w:p w:rsidR="00A66208" w:rsidRDefault="00A66208">
      <w:pPr>
        <w:ind w:firstLine="720"/>
        <w:jc w:val="both"/>
        <w:rPr>
          <w:szCs w:val="18"/>
        </w:rPr>
      </w:pPr>
      <w:r>
        <w:rPr>
          <w:szCs w:val="18"/>
        </w:rPr>
        <w:t xml:space="preserve">покупками Национальным Банком иностранной валюты на внутреннем рынке; </w:t>
      </w:r>
    </w:p>
    <w:p w:rsidR="00A66208" w:rsidRDefault="00A66208">
      <w:pPr>
        <w:jc w:val="both"/>
        <w:rPr>
          <w:szCs w:val="18"/>
        </w:rPr>
      </w:pPr>
      <w:r>
        <w:rPr>
          <w:szCs w:val="18"/>
        </w:rPr>
        <w:t xml:space="preserve">поступлением валютных средств на счета Министерства финансов (в т.ч. от размещения Казахстаном 3-й эмиссии еврооблигаций на международных рынках капитала, от приватизации государственной собственности и арендной платы России за космодром "Байконур", оплатой налогов иностранными инвесторами, работающими в нефтегазовом секторе). </w:t>
      </w:r>
    </w:p>
    <w:p w:rsidR="00A66208" w:rsidRDefault="00A66208">
      <w:pPr>
        <w:ind w:firstLine="720"/>
        <w:jc w:val="both"/>
        <w:rPr>
          <w:i/>
          <w:iCs/>
        </w:rPr>
      </w:pPr>
      <w:r>
        <w:t xml:space="preserve">Чистые золотовалютные активы имели более динамичный рост, что объясняется досрочным погашением Национальным Банком обязательств перед МВФ </w:t>
      </w:r>
      <w:r>
        <w:rPr>
          <w:i/>
          <w:iCs/>
        </w:rPr>
        <w:t>(рис.2.7)</w:t>
      </w:r>
      <w:r>
        <w:t>.</w:t>
      </w:r>
    </w:p>
    <w:p w:rsidR="00A66208" w:rsidRDefault="00A66208">
      <w:pPr>
        <w:jc w:val="both"/>
        <w:rPr>
          <w:i/>
          <w:iCs/>
        </w:rPr>
      </w:pPr>
    </w:p>
    <w:p w:rsidR="00A66208" w:rsidRDefault="00A66208">
      <w:pPr>
        <w:jc w:val="both"/>
        <w:rPr>
          <w:i/>
          <w:iCs/>
        </w:rPr>
      </w:pPr>
      <w:r>
        <w:rPr>
          <w:i/>
          <w:iCs/>
        </w:rPr>
        <w:t>Рисунок 2.7.</w:t>
      </w:r>
    </w:p>
    <w:p w:rsidR="00A66208" w:rsidRDefault="00A66208">
      <w:pPr>
        <w:pStyle w:val="2"/>
      </w:pPr>
      <w:r>
        <w:t>Золотовалютные активы Национального Банка</w:t>
      </w:r>
    </w:p>
    <w:p w:rsidR="00A66208" w:rsidRDefault="00151B29">
      <w:pPr>
        <w:jc w:val="both"/>
        <w:rPr>
          <w:b/>
          <w:bCs/>
        </w:rPr>
      </w:pPr>
      <w:r>
        <w:rPr>
          <w:b/>
          <w:bCs/>
        </w:rPr>
        <w:pict>
          <v:shape id="_x0000_i1031" type="#_x0000_t75" alt="" style="width:411pt;height:2in">
            <v:imagedata r:id="rId13" o:title=""/>
          </v:shape>
        </w:pict>
      </w:r>
    </w:p>
    <w:p w:rsidR="00A66208" w:rsidRDefault="00A66208">
      <w:pPr>
        <w:jc w:val="both"/>
        <w:rPr>
          <w:b/>
          <w:bCs/>
          <w:lang w:val="en-GB"/>
        </w:rPr>
      </w:pPr>
    </w:p>
    <w:p w:rsidR="00A66208" w:rsidRDefault="00A66208">
      <w:pPr>
        <w:ind w:firstLine="720"/>
        <w:jc w:val="both"/>
      </w:pPr>
      <w:r>
        <w:t xml:space="preserve">В структуре портфеля золотовалютных активов в 2000 году произошел значительный рост доли валютного компонента (с 62,43 до 76,10%) и одновременное снижение доли золота (с 26,21 до 23,89%) </w:t>
      </w:r>
      <w:r>
        <w:rPr>
          <w:i/>
          <w:iCs/>
        </w:rPr>
        <w:t>(табл.2.3)</w:t>
      </w:r>
      <w:r>
        <w:t>. Снижение доли золота связано со снижением цен под влиянием укрепления доллара США против основных мировых валют. Укрепление доллара оказало значительное давление на рынок металлов, вызвав волну хеджинговых продаж золота производителями и продаж металла крупными центральными банками. Доля СДР уменьшилась с 11,35 до 0,01%.</w:t>
      </w:r>
    </w:p>
    <w:p w:rsidR="00A66208" w:rsidRDefault="00A66208">
      <w:pPr>
        <w:ind w:firstLine="720"/>
        <w:jc w:val="both"/>
      </w:pPr>
    </w:p>
    <w:p w:rsidR="00A66208" w:rsidRDefault="00A66208">
      <w:pPr>
        <w:jc w:val="both"/>
      </w:pPr>
      <w:r>
        <w:t>Таблица 2.3.</w:t>
      </w:r>
    </w:p>
    <w:p w:rsidR="00A66208" w:rsidRDefault="00A66208">
      <w:pPr>
        <w:jc w:val="both"/>
        <w:rPr>
          <w:b/>
          <w:bCs/>
        </w:rPr>
      </w:pPr>
      <w:r>
        <w:rPr>
          <w:b/>
          <w:bCs/>
        </w:rPr>
        <w:t>Структура золотовалютных активов</w:t>
      </w:r>
    </w:p>
    <w:p w:rsidR="00A66208" w:rsidRDefault="00A66208">
      <w:pPr>
        <w:jc w:val="both"/>
        <w:rPr>
          <w:i/>
          <w:iCs/>
        </w:rPr>
      </w:pPr>
      <w:r>
        <w:rPr>
          <w:i/>
          <w:iCs/>
        </w:rPr>
        <w:t>в % от общей суммы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298"/>
        <w:gridCol w:w="954"/>
        <w:gridCol w:w="961"/>
      </w:tblGrid>
      <w:tr w:rsidR="00A6620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eastAsia="Arial Unicode MS"/>
              </w:rPr>
            </w:pPr>
            <w:r>
              <w:rPr>
                <w:b/>
                <w:bCs/>
              </w:rPr>
              <w:t>Вид актива</w:t>
            </w:r>
          </w:p>
        </w:tc>
        <w:tc>
          <w:tcPr>
            <w:tcW w:w="0" w:type="auto"/>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eastAsia="Arial Unicode MS"/>
              </w:rPr>
            </w:pPr>
            <w:r>
              <w:rPr>
                <w:b/>
                <w:bCs/>
              </w:rPr>
              <w:t>01.01.00</w:t>
            </w:r>
          </w:p>
        </w:tc>
        <w:tc>
          <w:tcPr>
            <w:tcW w:w="0" w:type="auto"/>
            <w:tcBorders>
              <w:top w:val="outset" w:sz="6" w:space="0" w:color="auto"/>
              <w:left w:val="outset" w:sz="6" w:space="0" w:color="auto"/>
              <w:bottom w:val="outset" w:sz="6" w:space="0" w:color="auto"/>
              <w:right w:val="outset" w:sz="6" w:space="0" w:color="auto"/>
            </w:tcBorders>
            <w:vAlign w:val="center"/>
          </w:tcPr>
          <w:p w:rsidR="00A66208" w:rsidRDefault="00A66208">
            <w:pPr>
              <w:jc w:val="both"/>
              <w:rPr>
                <w:rFonts w:eastAsia="Arial Unicode MS"/>
              </w:rPr>
            </w:pPr>
            <w:r>
              <w:rPr>
                <w:b/>
                <w:bCs/>
              </w:rPr>
              <w:t>01.01.01</w:t>
            </w:r>
          </w:p>
        </w:tc>
      </w:tr>
      <w:tr w:rsidR="00A6620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СКВ</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62,43</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76,10</w:t>
            </w:r>
          </w:p>
        </w:tc>
      </w:tr>
      <w:tr w:rsidR="00A6620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Золото</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26,21</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23,89</w:t>
            </w:r>
          </w:p>
        </w:tc>
      </w:tr>
      <w:tr w:rsidR="00A6620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СДР</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11,35</w:t>
            </w:r>
          </w:p>
        </w:tc>
        <w:tc>
          <w:tcPr>
            <w:tcW w:w="0" w:type="auto"/>
            <w:tcBorders>
              <w:top w:val="outset" w:sz="6" w:space="0" w:color="auto"/>
              <w:left w:val="outset" w:sz="6" w:space="0" w:color="auto"/>
              <w:bottom w:val="outset" w:sz="6" w:space="0" w:color="auto"/>
              <w:right w:val="outset" w:sz="6" w:space="0" w:color="auto"/>
            </w:tcBorders>
          </w:tcPr>
          <w:p w:rsidR="00A66208" w:rsidRDefault="00A66208">
            <w:pPr>
              <w:jc w:val="both"/>
              <w:rPr>
                <w:rFonts w:eastAsia="Arial Unicode MS"/>
              </w:rPr>
            </w:pPr>
            <w:r>
              <w:t>0,01</w:t>
            </w:r>
          </w:p>
        </w:tc>
      </w:tr>
    </w:tbl>
    <w:p w:rsidR="00A66208" w:rsidRDefault="00A66208">
      <w:pPr>
        <w:jc w:val="both"/>
      </w:pPr>
      <w:r>
        <w:t> </w:t>
      </w:r>
    </w:p>
    <w:p w:rsidR="00A66208" w:rsidRDefault="00A66208" w:rsidP="009B7F83">
      <w:pPr>
        <w:pStyle w:val="2"/>
        <w:jc w:val="center"/>
        <w:rPr>
          <w:b/>
          <w:sz w:val="36"/>
        </w:rPr>
      </w:pPr>
      <w:r>
        <w:rPr>
          <w:b/>
          <w:sz w:val="36"/>
        </w:rPr>
        <w:t>Заключение.</w:t>
      </w:r>
    </w:p>
    <w:p w:rsidR="00A66208" w:rsidRDefault="00A66208"/>
    <w:p w:rsidR="00A66208" w:rsidRDefault="00A66208">
      <w:pPr>
        <w:pStyle w:val="a6"/>
        <w:ind w:firstLine="709"/>
        <w:jc w:val="both"/>
        <w:rPr>
          <w:rFonts w:ascii="Times New Roman" w:hAnsi="Times New Roman"/>
        </w:rPr>
      </w:pPr>
      <w:r>
        <w:rPr>
          <w:rFonts w:ascii="Times New Roman" w:hAnsi="Times New Roman"/>
        </w:rPr>
        <w:t>Первоочередной задачей государственного сектора является  стабилизация экономики. Необходимо обеспечение экономического роста, борьба с инфляцией. Государство этим занимается, проводя фискальную и денежно - кредитную политику.  Целью денежно-кредитной политики является контроль над денежной массой или уровнем ссудного процента - все это  делается для регулирования денежного предложения в стране.</w:t>
      </w:r>
    </w:p>
    <w:p w:rsidR="00A66208" w:rsidRDefault="00A66208">
      <w:pPr>
        <w:pStyle w:val="a6"/>
        <w:ind w:firstLine="709"/>
        <w:jc w:val="both"/>
        <w:rPr>
          <w:rFonts w:ascii="Times New Roman" w:hAnsi="Times New Roman"/>
        </w:rPr>
      </w:pPr>
      <w:r>
        <w:rPr>
          <w:rFonts w:ascii="Times New Roman" w:hAnsi="Times New Roman"/>
        </w:rPr>
        <w:t>Центральным звеном денежной политики государства является  центральный банк (ФРС - в США,  НБ - в РК). Именно он своими действиями и проводит денежную политику. В мировой практике основными инструментами ЦБ  являются:  операции на открытом рынке ценных бумаг,  уровень процентной ставки по займам коммерческим банкам и  величина обязательных резервов.  Также  Центральный банк разрабатывает требования к коммерческим банкам, выполнение которых обеспечивает ликвидность банков.</w:t>
      </w:r>
    </w:p>
    <w:p w:rsidR="00A66208" w:rsidRDefault="00A66208">
      <w:pPr>
        <w:pStyle w:val="21"/>
        <w:spacing w:line="240" w:lineRule="auto"/>
        <w:rPr>
          <w:sz w:val="24"/>
        </w:rPr>
      </w:pPr>
      <w:r>
        <w:rPr>
          <w:sz w:val="24"/>
        </w:rPr>
        <w:t xml:space="preserve">Банк Казахстана сохраняет преемственность в определяющих принципах формирования денежно-кредитной политики, соподчиняя ее цели главным задачам экономической политики государства. на предстоящие 2003 - 2005 годы снижение инфляции при обеспечении роста ВВП по-прежнему остается конечной целью денежно-кредитной политики. Задачей определения количественных параметров экономической политики является выбор наилучшего сочетания экономического роста и инфляции. Критерием такого выбора должно быть повышение доходов населения в реальном выражении. </w:t>
      </w:r>
    </w:p>
    <w:p w:rsidR="00A66208" w:rsidRDefault="00A66208">
      <w:pPr>
        <w:ind w:firstLine="709"/>
        <w:jc w:val="both"/>
      </w:pPr>
      <w:r>
        <w:t>При проведении денежно-кредитной политики Банк Казахстана предполагает использовать не только все имеющиеся в настоящее время в его распоряжении инструменты, но и расширить их состав, сделав набор располагаемых методов контроля и управления денежным предложением полностью адекватным складывающимся общеэкономическим условиям.  Однако возможность и эффективность применения конкретных инструментов денежно-кредитного регулирования в значительной степени будут связаны с восстановлением и развитием сегментов финансового рынка и укреплением банковской системы. Достижение поставленных целей также будет зависеть от  наличия соответствующих условий, создаваемых функционированием всех секторов экономики и проведением необходимых институциональных преобразований.</w:t>
      </w:r>
    </w:p>
    <w:p w:rsidR="00A66208" w:rsidRPr="00902EC6" w:rsidRDefault="00A66208" w:rsidP="00902EC6">
      <w:pPr>
        <w:pStyle w:val="2"/>
        <w:jc w:val="center"/>
        <w:rPr>
          <w:b/>
          <w:sz w:val="26"/>
        </w:rPr>
      </w:pPr>
      <w:r>
        <w:br w:type="page"/>
      </w:r>
      <w:r w:rsidRPr="00902EC6">
        <w:rPr>
          <w:b/>
          <w:sz w:val="26"/>
        </w:rPr>
        <w:t>СПИСОК ИСПОЛЬЗОВАННОЙ ЛИТЕРАТУРЫ</w:t>
      </w:r>
    </w:p>
    <w:p w:rsidR="00A66208" w:rsidRDefault="00A66208"/>
    <w:p w:rsidR="00A66208" w:rsidRDefault="00A66208">
      <w:pPr>
        <w:pStyle w:val="a6"/>
        <w:spacing w:line="360" w:lineRule="auto"/>
        <w:jc w:val="both"/>
        <w:rPr>
          <w:rFonts w:ascii="Times New Roman" w:hAnsi="Times New Roman"/>
          <w:sz w:val="26"/>
        </w:rPr>
      </w:pPr>
    </w:p>
    <w:p w:rsidR="00A66208" w:rsidRDefault="00A66208">
      <w:pPr>
        <w:numPr>
          <w:ilvl w:val="0"/>
          <w:numId w:val="5"/>
        </w:numPr>
        <w:jc w:val="both"/>
      </w:pPr>
      <w:r>
        <w:t xml:space="preserve">  Н.Г. Антонов, М.А. Пессель “Денежное обращение, кредит и банки”. “Финстатинформ” Москва 1995.</w:t>
      </w:r>
    </w:p>
    <w:p w:rsidR="00A66208" w:rsidRDefault="00A66208">
      <w:pPr>
        <w:pStyle w:val="a6"/>
        <w:jc w:val="both"/>
        <w:rPr>
          <w:rFonts w:ascii="Times New Roman" w:hAnsi="Times New Roman"/>
        </w:rPr>
      </w:pPr>
      <w:r>
        <w:rPr>
          <w:rFonts w:ascii="Times New Roman" w:hAnsi="Times New Roman"/>
        </w:rPr>
        <w:t>2.  Э.Дж.Долан "Деньги, банки и денежно-кредитная политика"  "Санкт-Петербург     Оркестр", С-Пб, 1994 г.</w:t>
      </w:r>
    </w:p>
    <w:p w:rsidR="00A66208" w:rsidRDefault="00A66208">
      <w:pPr>
        <w:pStyle w:val="a6"/>
        <w:jc w:val="both"/>
        <w:rPr>
          <w:rFonts w:ascii="Times New Roman" w:hAnsi="Times New Roman"/>
        </w:rPr>
      </w:pPr>
      <w:r>
        <w:rPr>
          <w:rFonts w:ascii="Times New Roman" w:hAnsi="Times New Roman"/>
        </w:rPr>
        <w:t>3.    Э.Дж.Долан "Макроэкономика" "Санкт-Петербург Оркестр", С-Пб, 1994 г.</w:t>
      </w:r>
    </w:p>
    <w:p w:rsidR="00A66208" w:rsidRDefault="00A66208">
      <w:pPr>
        <w:jc w:val="both"/>
      </w:pPr>
      <w:r>
        <w:t>4.    Казаков А.А., Минаев Н.В. «Экономика» Учебное пособие. М., «Тендем» 1998 г.</w:t>
      </w:r>
    </w:p>
    <w:p w:rsidR="00A66208" w:rsidRDefault="00A66208">
      <w:pPr>
        <w:pStyle w:val="a6"/>
        <w:jc w:val="both"/>
        <w:rPr>
          <w:rFonts w:ascii="Times New Roman" w:hAnsi="Times New Roman"/>
        </w:rPr>
      </w:pPr>
      <w:r>
        <w:rPr>
          <w:rFonts w:ascii="Times New Roman" w:hAnsi="Times New Roman"/>
        </w:rPr>
        <w:t>5.    В.Д.Камаев и др."Учебник по основам экономической теории" "Владос", М. 1994 г.</w:t>
      </w:r>
    </w:p>
    <w:p w:rsidR="00A66208" w:rsidRDefault="00A66208">
      <w:pPr>
        <w:pStyle w:val="a6"/>
        <w:jc w:val="both"/>
        <w:rPr>
          <w:rFonts w:ascii="Times New Roman" w:hAnsi="Times New Roman"/>
        </w:rPr>
      </w:pPr>
      <w:r>
        <w:rPr>
          <w:rFonts w:ascii="Times New Roman" w:hAnsi="Times New Roman"/>
        </w:rPr>
        <w:t>6.    Куликов А.Г. и др. "Кредиты и инвестиции" "Приор", М.1994 г.</w:t>
      </w:r>
    </w:p>
    <w:p w:rsidR="00A66208" w:rsidRDefault="00A66208">
      <w:pPr>
        <w:jc w:val="both"/>
      </w:pPr>
      <w:r>
        <w:t>7.   Лебедев О.Г., Филиппов Г.Ф., «Основы экономики» Учебное пособие, С-Петербург  «МиМ» 1998 г.</w:t>
      </w:r>
    </w:p>
    <w:p w:rsidR="00A66208" w:rsidRDefault="00A66208">
      <w:pPr>
        <w:pStyle w:val="a6"/>
        <w:jc w:val="both"/>
        <w:rPr>
          <w:rFonts w:ascii="Times New Roman" w:hAnsi="Times New Roman"/>
        </w:rPr>
      </w:pPr>
      <w:r>
        <w:rPr>
          <w:rFonts w:ascii="Times New Roman" w:hAnsi="Times New Roman"/>
        </w:rPr>
        <w:t>8.     К.Р.Макконелл, С.Л.Брю "Экономикс"  "Республика", М. 1993 г.</w:t>
      </w:r>
    </w:p>
    <w:p w:rsidR="00A66208" w:rsidRDefault="00A66208">
      <w:pPr>
        <w:pStyle w:val="a6"/>
        <w:jc w:val="both"/>
        <w:rPr>
          <w:rFonts w:ascii="Times New Roman" w:hAnsi="Times New Roman"/>
        </w:rPr>
      </w:pPr>
      <w:r>
        <w:rPr>
          <w:rFonts w:ascii="Times New Roman" w:hAnsi="Times New Roman"/>
        </w:rPr>
        <w:t>9.     П.Самуэльсон "Экономика" , М. 1992 г.</w:t>
      </w:r>
    </w:p>
    <w:p w:rsidR="00A66208" w:rsidRDefault="00A66208">
      <w:pPr>
        <w:jc w:val="both"/>
      </w:pPr>
      <w:r>
        <w:t>10.   Фишер С., Дорнбуш Р., Шмалензи Р. «Экономика» М. «Дело» 1993 г.</w:t>
      </w:r>
    </w:p>
    <w:p w:rsidR="00A66208" w:rsidRDefault="00A66208">
      <w:pPr>
        <w:jc w:val="both"/>
      </w:pPr>
      <w:r>
        <w:t>11.   «Экономическая теория» Учебник, п/р И.П.Николаевой,М.: ПРОСПЕКТ, 1999</w:t>
      </w:r>
    </w:p>
    <w:p w:rsidR="00A66208" w:rsidRDefault="00A66208">
      <w:pPr>
        <w:jc w:val="both"/>
      </w:pPr>
      <w:r>
        <w:t xml:space="preserve">12. «Экономическая   теория национальной экономики и мирового хозяйства (Политическая экономия)» Учебное пособие, Москва, ФА, 1997 </w:t>
      </w:r>
    </w:p>
    <w:p w:rsidR="00A66208" w:rsidRDefault="00A66208">
      <w:pPr>
        <w:jc w:val="both"/>
      </w:pPr>
      <w:r>
        <w:t xml:space="preserve">13.    Интернет-ресурсы официального сайта НБ РК </w:t>
      </w:r>
      <w:hyperlink r:id="rId14" w:history="1">
        <w:r>
          <w:rPr>
            <w:rStyle w:val="aa"/>
            <w:lang w:val="en-GB"/>
          </w:rPr>
          <w:t>www</w:t>
        </w:r>
        <w:r>
          <w:rPr>
            <w:rStyle w:val="aa"/>
          </w:rPr>
          <w:t>.</w:t>
        </w:r>
        <w:r>
          <w:rPr>
            <w:rStyle w:val="aa"/>
            <w:lang w:val="en-GB"/>
          </w:rPr>
          <w:t>nationalbank</w:t>
        </w:r>
        <w:r>
          <w:rPr>
            <w:rStyle w:val="aa"/>
          </w:rPr>
          <w:t>.</w:t>
        </w:r>
        <w:r>
          <w:rPr>
            <w:rStyle w:val="aa"/>
            <w:lang w:val="en-GB"/>
          </w:rPr>
          <w:t>kz</w:t>
        </w:r>
      </w:hyperlink>
      <w:r>
        <w:t xml:space="preserve"> </w:t>
      </w:r>
    </w:p>
    <w:p w:rsidR="00A66208" w:rsidRDefault="00A66208">
      <w:pPr>
        <w:spacing w:before="0" w:after="0"/>
      </w:pPr>
      <w:r>
        <w:rPr>
          <w:snapToGrid/>
        </w:rPr>
        <w:t>14.</w:t>
      </w:r>
      <w:r>
        <w:t xml:space="preserve">    Интернет-ресурсы официального сайта Российской газеты </w:t>
      </w:r>
      <w:hyperlink r:id="rId15" w:history="1">
        <w:r>
          <w:rPr>
            <w:rStyle w:val="aa"/>
          </w:rPr>
          <w:t>www.rg.ru</w:t>
        </w:r>
      </w:hyperlink>
      <w:bookmarkStart w:id="2" w:name="_GoBack"/>
      <w:bookmarkEnd w:id="2"/>
    </w:p>
    <w:sectPr w:rsidR="00A66208" w:rsidSect="00156917">
      <w:footerReference w:type="even" r:id="rId16"/>
      <w:footerReference w:type="default" r:id="rId17"/>
      <w:pgSz w:w="11906" w:h="16838"/>
      <w:pgMar w:top="1134" w:right="851" w:bottom="1134"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09" w:rsidRDefault="00F54709">
      <w:r>
        <w:separator/>
      </w:r>
    </w:p>
  </w:endnote>
  <w:endnote w:type="continuationSeparator" w:id="0">
    <w:p w:rsidR="00F54709" w:rsidRDefault="00F5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C6" w:rsidRDefault="00902EC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02EC6" w:rsidRDefault="00902EC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C6" w:rsidRDefault="00902EC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250B3">
      <w:rPr>
        <w:rStyle w:val="a5"/>
        <w:noProof/>
      </w:rPr>
      <w:t>1</w:t>
    </w:r>
    <w:r>
      <w:rPr>
        <w:rStyle w:val="a5"/>
      </w:rPr>
      <w:fldChar w:fldCharType="end"/>
    </w:r>
  </w:p>
  <w:p w:rsidR="00902EC6" w:rsidRDefault="00902EC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09" w:rsidRDefault="00F54709">
      <w:r>
        <w:separator/>
      </w:r>
    </w:p>
  </w:footnote>
  <w:footnote w:type="continuationSeparator" w:id="0">
    <w:p w:rsidR="00F54709" w:rsidRDefault="00F54709">
      <w:r>
        <w:continuationSeparator/>
      </w:r>
    </w:p>
  </w:footnote>
  <w:footnote w:id="1">
    <w:p w:rsidR="00902EC6" w:rsidRDefault="00902EC6">
      <w:pPr>
        <w:pStyle w:val="a7"/>
        <w:rPr>
          <w:lang w:val="en-US"/>
        </w:rPr>
      </w:pPr>
      <w:r>
        <w:rPr>
          <w:rStyle w:val="a8"/>
        </w:rPr>
        <w:footnoteRef/>
      </w:r>
      <w:r>
        <w:rPr>
          <w:lang w:val="en-US"/>
        </w:rPr>
        <w:t xml:space="preserve"> “Some Monetary Facts” by G.T.McCandless Jr., Warren E. Weber..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BFC"/>
    <w:multiLevelType w:val="hybridMultilevel"/>
    <w:tmpl w:val="CBD8B9D6"/>
    <w:lvl w:ilvl="0" w:tplc="E3328D96">
      <w:start w:val="1"/>
      <w:numFmt w:val="bullet"/>
      <w:lvlText w:val=""/>
      <w:lvlJc w:val="left"/>
      <w:pPr>
        <w:tabs>
          <w:tab w:val="num" w:pos="720"/>
        </w:tabs>
        <w:ind w:left="720" w:hanging="360"/>
      </w:pPr>
      <w:rPr>
        <w:rFonts w:ascii="Symbol" w:hAnsi="Symbol" w:hint="default"/>
        <w:sz w:val="20"/>
      </w:rPr>
    </w:lvl>
    <w:lvl w:ilvl="1" w:tplc="37307326" w:tentative="1">
      <w:start w:val="1"/>
      <w:numFmt w:val="bullet"/>
      <w:lvlText w:val="o"/>
      <w:lvlJc w:val="left"/>
      <w:pPr>
        <w:tabs>
          <w:tab w:val="num" w:pos="1440"/>
        </w:tabs>
        <w:ind w:left="1440" w:hanging="360"/>
      </w:pPr>
      <w:rPr>
        <w:rFonts w:ascii="Courier New" w:hAnsi="Courier New" w:hint="default"/>
        <w:sz w:val="20"/>
      </w:rPr>
    </w:lvl>
    <w:lvl w:ilvl="2" w:tplc="076AB924" w:tentative="1">
      <w:start w:val="1"/>
      <w:numFmt w:val="bullet"/>
      <w:lvlText w:val=""/>
      <w:lvlJc w:val="left"/>
      <w:pPr>
        <w:tabs>
          <w:tab w:val="num" w:pos="2160"/>
        </w:tabs>
        <w:ind w:left="2160" w:hanging="360"/>
      </w:pPr>
      <w:rPr>
        <w:rFonts w:ascii="Wingdings" w:hAnsi="Wingdings" w:hint="default"/>
        <w:sz w:val="20"/>
      </w:rPr>
    </w:lvl>
    <w:lvl w:ilvl="3" w:tplc="49328006" w:tentative="1">
      <w:start w:val="1"/>
      <w:numFmt w:val="bullet"/>
      <w:lvlText w:val=""/>
      <w:lvlJc w:val="left"/>
      <w:pPr>
        <w:tabs>
          <w:tab w:val="num" w:pos="2880"/>
        </w:tabs>
        <w:ind w:left="2880" w:hanging="360"/>
      </w:pPr>
      <w:rPr>
        <w:rFonts w:ascii="Wingdings" w:hAnsi="Wingdings" w:hint="default"/>
        <w:sz w:val="20"/>
      </w:rPr>
    </w:lvl>
    <w:lvl w:ilvl="4" w:tplc="0420A0DA" w:tentative="1">
      <w:start w:val="1"/>
      <w:numFmt w:val="bullet"/>
      <w:lvlText w:val=""/>
      <w:lvlJc w:val="left"/>
      <w:pPr>
        <w:tabs>
          <w:tab w:val="num" w:pos="3600"/>
        </w:tabs>
        <w:ind w:left="3600" w:hanging="360"/>
      </w:pPr>
      <w:rPr>
        <w:rFonts w:ascii="Wingdings" w:hAnsi="Wingdings" w:hint="default"/>
        <w:sz w:val="20"/>
      </w:rPr>
    </w:lvl>
    <w:lvl w:ilvl="5" w:tplc="7186A21E" w:tentative="1">
      <w:start w:val="1"/>
      <w:numFmt w:val="bullet"/>
      <w:lvlText w:val=""/>
      <w:lvlJc w:val="left"/>
      <w:pPr>
        <w:tabs>
          <w:tab w:val="num" w:pos="4320"/>
        </w:tabs>
        <w:ind w:left="4320" w:hanging="360"/>
      </w:pPr>
      <w:rPr>
        <w:rFonts w:ascii="Wingdings" w:hAnsi="Wingdings" w:hint="default"/>
        <w:sz w:val="20"/>
      </w:rPr>
    </w:lvl>
    <w:lvl w:ilvl="6" w:tplc="0A56F454" w:tentative="1">
      <w:start w:val="1"/>
      <w:numFmt w:val="bullet"/>
      <w:lvlText w:val=""/>
      <w:lvlJc w:val="left"/>
      <w:pPr>
        <w:tabs>
          <w:tab w:val="num" w:pos="5040"/>
        </w:tabs>
        <w:ind w:left="5040" w:hanging="360"/>
      </w:pPr>
      <w:rPr>
        <w:rFonts w:ascii="Wingdings" w:hAnsi="Wingdings" w:hint="default"/>
        <w:sz w:val="20"/>
      </w:rPr>
    </w:lvl>
    <w:lvl w:ilvl="7" w:tplc="DD628F12" w:tentative="1">
      <w:start w:val="1"/>
      <w:numFmt w:val="bullet"/>
      <w:lvlText w:val=""/>
      <w:lvlJc w:val="left"/>
      <w:pPr>
        <w:tabs>
          <w:tab w:val="num" w:pos="5760"/>
        </w:tabs>
        <w:ind w:left="5760" w:hanging="360"/>
      </w:pPr>
      <w:rPr>
        <w:rFonts w:ascii="Wingdings" w:hAnsi="Wingdings" w:hint="default"/>
        <w:sz w:val="20"/>
      </w:rPr>
    </w:lvl>
    <w:lvl w:ilvl="8" w:tplc="3C98DECA"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3188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FA430C7"/>
    <w:multiLevelType w:val="singleLevel"/>
    <w:tmpl w:val="0419000F"/>
    <w:lvl w:ilvl="0">
      <w:start w:val="8"/>
      <w:numFmt w:val="decimal"/>
      <w:lvlText w:val="%1."/>
      <w:lvlJc w:val="left"/>
      <w:pPr>
        <w:tabs>
          <w:tab w:val="num" w:pos="360"/>
        </w:tabs>
        <w:ind w:left="360" w:hanging="360"/>
      </w:pPr>
      <w:rPr>
        <w:rFonts w:hint="default"/>
      </w:rPr>
    </w:lvl>
  </w:abstractNum>
  <w:abstractNum w:abstractNumId="3">
    <w:nsid w:val="195C1BCC"/>
    <w:multiLevelType w:val="singleLevel"/>
    <w:tmpl w:val="FEF6B4D0"/>
    <w:lvl w:ilvl="0">
      <w:numFmt w:val="none"/>
      <w:lvlText w:val=""/>
      <w:lvlJc w:val="left"/>
      <w:pPr>
        <w:tabs>
          <w:tab w:val="num" w:pos="360"/>
        </w:tabs>
      </w:pPr>
    </w:lvl>
  </w:abstractNum>
  <w:abstractNum w:abstractNumId="4">
    <w:nsid w:val="44EB326D"/>
    <w:multiLevelType w:val="hybridMultilevel"/>
    <w:tmpl w:val="98FECD9C"/>
    <w:lvl w:ilvl="0" w:tplc="04090001">
      <w:start w:val="1"/>
      <w:numFmt w:val="bullet"/>
      <w:lvlText w:val=""/>
      <w:lvlJc w:val="left"/>
      <w:pPr>
        <w:tabs>
          <w:tab w:val="num" w:pos="8505"/>
        </w:tabs>
        <w:ind w:left="8505" w:hanging="360"/>
      </w:pPr>
      <w:rPr>
        <w:rFonts w:ascii="Symbol" w:hAnsi="Symbol" w:hint="default"/>
      </w:rPr>
    </w:lvl>
    <w:lvl w:ilvl="1" w:tplc="04090003" w:tentative="1">
      <w:start w:val="1"/>
      <w:numFmt w:val="bullet"/>
      <w:lvlText w:val="o"/>
      <w:lvlJc w:val="left"/>
      <w:pPr>
        <w:tabs>
          <w:tab w:val="num" w:pos="9225"/>
        </w:tabs>
        <w:ind w:left="9225" w:hanging="360"/>
      </w:pPr>
      <w:rPr>
        <w:rFonts w:ascii="Courier New" w:hAnsi="Courier New" w:hint="default"/>
      </w:rPr>
    </w:lvl>
    <w:lvl w:ilvl="2" w:tplc="04090005" w:tentative="1">
      <w:start w:val="1"/>
      <w:numFmt w:val="bullet"/>
      <w:lvlText w:val=""/>
      <w:lvlJc w:val="left"/>
      <w:pPr>
        <w:tabs>
          <w:tab w:val="num" w:pos="9945"/>
        </w:tabs>
        <w:ind w:left="9945" w:hanging="360"/>
      </w:pPr>
      <w:rPr>
        <w:rFonts w:ascii="Wingdings" w:hAnsi="Wingdings" w:hint="default"/>
      </w:rPr>
    </w:lvl>
    <w:lvl w:ilvl="3" w:tplc="04090001" w:tentative="1">
      <w:start w:val="1"/>
      <w:numFmt w:val="bullet"/>
      <w:lvlText w:val=""/>
      <w:lvlJc w:val="left"/>
      <w:pPr>
        <w:tabs>
          <w:tab w:val="num" w:pos="10665"/>
        </w:tabs>
        <w:ind w:left="10665" w:hanging="360"/>
      </w:pPr>
      <w:rPr>
        <w:rFonts w:ascii="Symbol" w:hAnsi="Symbol" w:hint="default"/>
      </w:rPr>
    </w:lvl>
    <w:lvl w:ilvl="4" w:tplc="04090003" w:tentative="1">
      <w:start w:val="1"/>
      <w:numFmt w:val="bullet"/>
      <w:lvlText w:val="o"/>
      <w:lvlJc w:val="left"/>
      <w:pPr>
        <w:tabs>
          <w:tab w:val="num" w:pos="11385"/>
        </w:tabs>
        <w:ind w:left="11385" w:hanging="360"/>
      </w:pPr>
      <w:rPr>
        <w:rFonts w:ascii="Courier New" w:hAnsi="Courier New" w:hint="default"/>
      </w:rPr>
    </w:lvl>
    <w:lvl w:ilvl="5" w:tplc="04090005" w:tentative="1">
      <w:start w:val="1"/>
      <w:numFmt w:val="bullet"/>
      <w:lvlText w:val=""/>
      <w:lvlJc w:val="left"/>
      <w:pPr>
        <w:tabs>
          <w:tab w:val="num" w:pos="12105"/>
        </w:tabs>
        <w:ind w:left="12105" w:hanging="360"/>
      </w:pPr>
      <w:rPr>
        <w:rFonts w:ascii="Wingdings" w:hAnsi="Wingdings" w:hint="default"/>
      </w:rPr>
    </w:lvl>
    <w:lvl w:ilvl="6" w:tplc="04090001" w:tentative="1">
      <w:start w:val="1"/>
      <w:numFmt w:val="bullet"/>
      <w:lvlText w:val=""/>
      <w:lvlJc w:val="left"/>
      <w:pPr>
        <w:tabs>
          <w:tab w:val="num" w:pos="12825"/>
        </w:tabs>
        <w:ind w:left="12825" w:hanging="360"/>
      </w:pPr>
      <w:rPr>
        <w:rFonts w:ascii="Symbol" w:hAnsi="Symbol" w:hint="default"/>
      </w:rPr>
    </w:lvl>
    <w:lvl w:ilvl="7" w:tplc="04090003" w:tentative="1">
      <w:start w:val="1"/>
      <w:numFmt w:val="bullet"/>
      <w:lvlText w:val="o"/>
      <w:lvlJc w:val="left"/>
      <w:pPr>
        <w:tabs>
          <w:tab w:val="num" w:pos="13545"/>
        </w:tabs>
        <w:ind w:left="13545" w:hanging="360"/>
      </w:pPr>
      <w:rPr>
        <w:rFonts w:ascii="Courier New" w:hAnsi="Courier New" w:hint="default"/>
      </w:rPr>
    </w:lvl>
    <w:lvl w:ilvl="8" w:tplc="04090005" w:tentative="1">
      <w:start w:val="1"/>
      <w:numFmt w:val="bullet"/>
      <w:lvlText w:val=""/>
      <w:lvlJc w:val="left"/>
      <w:pPr>
        <w:tabs>
          <w:tab w:val="num" w:pos="14265"/>
        </w:tabs>
        <w:ind w:left="14265" w:hanging="360"/>
      </w:pPr>
      <w:rPr>
        <w:rFonts w:ascii="Wingdings" w:hAnsi="Wingdings" w:hint="default"/>
      </w:rPr>
    </w:lvl>
  </w:abstractNum>
  <w:abstractNum w:abstractNumId="5">
    <w:nsid w:val="4B385708"/>
    <w:multiLevelType w:val="singleLevel"/>
    <w:tmpl w:val="0419000F"/>
    <w:lvl w:ilvl="0">
      <w:start w:val="5"/>
      <w:numFmt w:val="decimal"/>
      <w:lvlText w:val="%1."/>
      <w:lvlJc w:val="left"/>
      <w:pPr>
        <w:tabs>
          <w:tab w:val="num" w:pos="360"/>
        </w:tabs>
        <w:ind w:left="360" w:hanging="360"/>
      </w:pPr>
      <w:rPr>
        <w:rFonts w:hint="default"/>
      </w:rPr>
    </w:lvl>
  </w:abstractNum>
  <w:abstractNum w:abstractNumId="6">
    <w:nsid w:val="4E4D1E4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9071E68"/>
    <w:multiLevelType w:val="singleLevel"/>
    <w:tmpl w:val="8634113C"/>
    <w:lvl w:ilvl="0">
      <w:start w:val="1"/>
      <w:numFmt w:val="decimal"/>
      <w:lvlText w:val="%1."/>
      <w:legacy w:legacy="1" w:legacySpace="0" w:legacyIndent="283"/>
      <w:lvlJc w:val="left"/>
      <w:pPr>
        <w:ind w:left="283" w:hanging="283"/>
      </w:pPr>
    </w:lvl>
  </w:abstractNum>
  <w:abstractNum w:abstractNumId="8">
    <w:nsid w:val="5C777E80"/>
    <w:multiLevelType w:val="singleLevel"/>
    <w:tmpl w:val="0419000F"/>
    <w:lvl w:ilvl="0">
      <w:start w:val="13"/>
      <w:numFmt w:val="decimal"/>
      <w:lvlText w:val="%1."/>
      <w:lvlJc w:val="left"/>
      <w:pPr>
        <w:tabs>
          <w:tab w:val="num" w:pos="360"/>
        </w:tabs>
        <w:ind w:left="360" w:hanging="360"/>
      </w:pPr>
      <w:rPr>
        <w:rFonts w:hint="default"/>
      </w:rPr>
    </w:lvl>
  </w:abstractNum>
  <w:abstractNum w:abstractNumId="9">
    <w:nsid w:val="651F34B3"/>
    <w:multiLevelType w:val="singleLevel"/>
    <w:tmpl w:val="CD0AAF12"/>
    <w:lvl w:ilvl="0">
      <w:start w:val="3"/>
      <w:numFmt w:val="bullet"/>
      <w:lvlText w:val="-"/>
      <w:lvlJc w:val="left"/>
      <w:pPr>
        <w:tabs>
          <w:tab w:val="num" w:pos="1069"/>
        </w:tabs>
        <w:ind w:left="1069" w:hanging="360"/>
      </w:pPr>
      <w:rPr>
        <w:rFonts w:hint="default"/>
      </w:rPr>
    </w:lvl>
  </w:abstractNum>
  <w:abstractNum w:abstractNumId="10">
    <w:nsid w:val="7B885EB8"/>
    <w:multiLevelType w:val="hybridMultilevel"/>
    <w:tmpl w:val="FCD40102"/>
    <w:lvl w:ilvl="0" w:tplc="FF6A3270">
      <w:start w:val="1"/>
      <w:numFmt w:val="bullet"/>
      <w:lvlText w:val=""/>
      <w:lvlJc w:val="left"/>
      <w:pPr>
        <w:tabs>
          <w:tab w:val="num" w:pos="720"/>
        </w:tabs>
        <w:ind w:left="720" w:hanging="360"/>
      </w:pPr>
      <w:rPr>
        <w:rFonts w:ascii="Symbol" w:hAnsi="Symbol" w:hint="default"/>
        <w:sz w:val="20"/>
      </w:rPr>
    </w:lvl>
    <w:lvl w:ilvl="1" w:tplc="3B408770" w:tentative="1">
      <w:start w:val="1"/>
      <w:numFmt w:val="bullet"/>
      <w:lvlText w:val="o"/>
      <w:lvlJc w:val="left"/>
      <w:pPr>
        <w:tabs>
          <w:tab w:val="num" w:pos="1440"/>
        </w:tabs>
        <w:ind w:left="1440" w:hanging="360"/>
      </w:pPr>
      <w:rPr>
        <w:rFonts w:ascii="Courier New" w:hAnsi="Courier New" w:hint="default"/>
        <w:sz w:val="20"/>
      </w:rPr>
    </w:lvl>
    <w:lvl w:ilvl="2" w:tplc="74F0B3FA" w:tentative="1">
      <w:start w:val="1"/>
      <w:numFmt w:val="bullet"/>
      <w:lvlText w:val=""/>
      <w:lvlJc w:val="left"/>
      <w:pPr>
        <w:tabs>
          <w:tab w:val="num" w:pos="2160"/>
        </w:tabs>
        <w:ind w:left="2160" w:hanging="360"/>
      </w:pPr>
      <w:rPr>
        <w:rFonts w:ascii="Wingdings" w:hAnsi="Wingdings" w:hint="default"/>
        <w:sz w:val="20"/>
      </w:rPr>
    </w:lvl>
    <w:lvl w:ilvl="3" w:tplc="099E3E88" w:tentative="1">
      <w:start w:val="1"/>
      <w:numFmt w:val="bullet"/>
      <w:lvlText w:val=""/>
      <w:lvlJc w:val="left"/>
      <w:pPr>
        <w:tabs>
          <w:tab w:val="num" w:pos="2880"/>
        </w:tabs>
        <w:ind w:left="2880" w:hanging="360"/>
      </w:pPr>
      <w:rPr>
        <w:rFonts w:ascii="Wingdings" w:hAnsi="Wingdings" w:hint="default"/>
        <w:sz w:val="20"/>
      </w:rPr>
    </w:lvl>
    <w:lvl w:ilvl="4" w:tplc="779C3D7E" w:tentative="1">
      <w:start w:val="1"/>
      <w:numFmt w:val="bullet"/>
      <w:lvlText w:val=""/>
      <w:lvlJc w:val="left"/>
      <w:pPr>
        <w:tabs>
          <w:tab w:val="num" w:pos="3600"/>
        </w:tabs>
        <w:ind w:left="3600" w:hanging="360"/>
      </w:pPr>
      <w:rPr>
        <w:rFonts w:ascii="Wingdings" w:hAnsi="Wingdings" w:hint="default"/>
        <w:sz w:val="20"/>
      </w:rPr>
    </w:lvl>
    <w:lvl w:ilvl="5" w:tplc="69F8AE9E" w:tentative="1">
      <w:start w:val="1"/>
      <w:numFmt w:val="bullet"/>
      <w:lvlText w:val=""/>
      <w:lvlJc w:val="left"/>
      <w:pPr>
        <w:tabs>
          <w:tab w:val="num" w:pos="4320"/>
        </w:tabs>
        <w:ind w:left="4320" w:hanging="360"/>
      </w:pPr>
      <w:rPr>
        <w:rFonts w:ascii="Wingdings" w:hAnsi="Wingdings" w:hint="default"/>
        <w:sz w:val="20"/>
      </w:rPr>
    </w:lvl>
    <w:lvl w:ilvl="6" w:tplc="620AB982" w:tentative="1">
      <w:start w:val="1"/>
      <w:numFmt w:val="bullet"/>
      <w:lvlText w:val=""/>
      <w:lvlJc w:val="left"/>
      <w:pPr>
        <w:tabs>
          <w:tab w:val="num" w:pos="5040"/>
        </w:tabs>
        <w:ind w:left="5040" w:hanging="360"/>
      </w:pPr>
      <w:rPr>
        <w:rFonts w:ascii="Wingdings" w:hAnsi="Wingdings" w:hint="default"/>
        <w:sz w:val="20"/>
      </w:rPr>
    </w:lvl>
    <w:lvl w:ilvl="7" w:tplc="3C028CF4" w:tentative="1">
      <w:start w:val="1"/>
      <w:numFmt w:val="bullet"/>
      <w:lvlText w:val=""/>
      <w:lvlJc w:val="left"/>
      <w:pPr>
        <w:tabs>
          <w:tab w:val="num" w:pos="5760"/>
        </w:tabs>
        <w:ind w:left="5760" w:hanging="360"/>
      </w:pPr>
      <w:rPr>
        <w:rFonts w:ascii="Wingdings" w:hAnsi="Wingdings" w:hint="default"/>
        <w:sz w:val="20"/>
      </w:rPr>
    </w:lvl>
    <w:lvl w:ilvl="8" w:tplc="DA5467EA"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CB0B30"/>
    <w:multiLevelType w:val="multilevel"/>
    <w:tmpl w:val="38160FF0"/>
    <w:lvl w:ilvl="0">
      <w:start w:val="3"/>
      <w:numFmt w:val="upperRoman"/>
      <w:pStyle w:val="5"/>
      <w:lvlText w:val="%1."/>
      <w:lvlJc w:val="left"/>
      <w:pPr>
        <w:tabs>
          <w:tab w:val="num" w:pos="1080"/>
        </w:tabs>
        <w:ind w:left="1080" w:hanging="720"/>
      </w:pPr>
      <w:rPr>
        <w:rFonts w:hint="default"/>
      </w:rPr>
    </w:lvl>
    <w:lvl w:ilvl="1">
      <w:start w:val="1"/>
      <w:numFmt w:val="decimal"/>
      <w:isLgl/>
      <w:lvlText w:val="%1.%2."/>
      <w:lvlJc w:val="left"/>
      <w:pPr>
        <w:tabs>
          <w:tab w:val="num" w:pos="1050"/>
        </w:tabs>
        <w:ind w:left="105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790"/>
        </w:tabs>
        <w:ind w:left="279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90"/>
        </w:tabs>
        <w:ind w:left="369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12">
    <w:nsid w:val="7FD906FE"/>
    <w:multiLevelType w:val="singleLevel"/>
    <w:tmpl w:val="0419000F"/>
    <w:lvl w:ilvl="0">
      <w:start w:val="11"/>
      <w:numFmt w:val="decimal"/>
      <w:lvlText w:val="%1."/>
      <w:lvlJc w:val="left"/>
      <w:pPr>
        <w:tabs>
          <w:tab w:val="num" w:pos="360"/>
        </w:tabs>
        <w:ind w:left="360" w:hanging="360"/>
      </w:pPr>
      <w:rPr>
        <w:rFonts w:hint="default"/>
      </w:rPr>
    </w:lvl>
  </w:abstractNum>
  <w:num w:numId="1">
    <w:abstractNumId w:val="1"/>
  </w:num>
  <w:num w:numId="2">
    <w:abstractNumId w:val="6"/>
  </w:num>
  <w:num w:numId="3">
    <w:abstractNumId w:val="3"/>
  </w:num>
  <w:num w:numId="4">
    <w:abstractNumId w:val="3"/>
  </w:num>
  <w:num w:numId="5">
    <w:abstractNumId w:val="7"/>
    <w:lvlOverride w:ilvl="0">
      <w:lvl w:ilvl="0">
        <w:start w:val="1"/>
        <w:numFmt w:val="decimal"/>
        <w:lvlText w:val="%1."/>
        <w:legacy w:legacy="1" w:legacySpace="0" w:legacyIndent="283"/>
        <w:lvlJc w:val="left"/>
        <w:pPr>
          <w:ind w:left="283" w:hanging="283"/>
        </w:pPr>
      </w:lvl>
    </w:lvlOverride>
  </w:num>
  <w:num w:numId="6">
    <w:abstractNumId w:val="5"/>
  </w:num>
  <w:num w:numId="7">
    <w:abstractNumId w:val="2"/>
  </w:num>
  <w:num w:numId="8">
    <w:abstractNumId w:val="12"/>
  </w:num>
  <w:num w:numId="9">
    <w:abstractNumId w:val="8"/>
  </w:num>
  <w:num w:numId="10">
    <w:abstractNumId w:val="9"/>
  </w:num>
  <w:num w:numId="11">
    <w:abstractNumId w:val="4"/>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83"/>
    <w:rsid w:val="00151B29"/>
    <w:rsid w:val="00156917"/>
    <w:rsid w:val="001A0A7F"/>
    <w:rsid w:val="00361E45"/>
    <w:rsid w:val="005023ED"/>
    <w:rsid w:val="006C4AB2"/>
    <w:rsid w:val="008131FD"/>
    <w:rsid w:val="008250B3"/>
    <w:rsid w:val="00902EC6"/>
    <w:rsid w:val="00922A5A"/>
    <w:rsid w:val="009B7F83"/>
    <w:rsid w:val="00A66208"/>
    <w:rsid w:val="00CC0F6D"/>
    <w:rsid w:val="00CF5027"/>
    <w:rsid w:val="00F5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3"/>
    <o:shapelayout v:ext="edit">
      <o:idmap v:ext="edit" data="1"/>
    </o:shapelayout>
  </w:shapeDefaults>
  <w:decimalSymbol w:val=","/>
  <w:listSeparator w:val=";"/>
  <w15:chartTrackingRefBased/>
  <w15:docId w15:val="{865A1225-F3E6-4FBD-9756-21C49F7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napToGrid w:val="0"/>
      <w:sz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b/>
    </w:rPr>
  </w:style>
  <w:style w:type="paragraph" w:styleId="5">
    <w:name w:val="heading 5"/>
    <w:basedOn w:val="a"/>
    <w:next w:val="a"/>
    <w:qFormat/>
    <w:pPr>
      <w:keepNext/>
      <w:numPr>
        <w:numId w:val="12"/>
      </w:numPr>
      <w:tabs>
        <w:tab w:val="clear" w:pos="1080"/>
        <w:tab w:val="num" w:pos="567"/>
      </w:tabs>
      <w:ind w:left="567" w:hanging="567"/>
      <w:outlineLvl w:val="4"/>
    </w:pPr>
    <w:rPr>
      <w:b/>
      <w:sz w:val="28"/>
    </w:rPr>
  </w:style>
  <w:style w:type="paragraph" w:styleId="6">
    <w:name w:val="heading 6"/>
    <w:basedOn w:val="a"/>
    <w:next w:val="a"/>
    <w:qFormat/>
    <w:pPr>
      <w:keepNext/>
      <w:ind w:left="630"/>
      <w:outlineLvl w:val="5"/>
    </w:pPr>
    <w:rPr>
      <w:b/>
      <w:bCs/>
    </w:rPr>
  </w:style>
  <w:style w:type="paragraph" w:styleId="7">
    <w:name w:val="heading 7"/>
    <w:basedOn w:val="a"/>
    <w:next w:val="a"/>
    <w:qFormat/>
    <w:pPr>
      <w:keepNext/>
      <w:jc w:val="both"/>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footer"/>
    <w:basedOn w:val="a"/>
    <w:pPr>
      <w:tabs>
        <w:tab w:val="center" w:pos="4153"/>
        <w:tab w:val="right" w:pos="8306"/>
      </w:tabs>
    </w:pPr>
  </w:style>
  <w:style w:type="character" w:styleId="a5">
    <w:name w:val="page number"/>
    <w:basedOn w:val="a0"/>
  </w:style>
  <w:style w:type="paragraph" w:styleId="20">
    <w:name w:val="Body Text 2"/>
    <w:basedOn w:val="a"/>
    <w:pPr>
      <w:jc w:val="center"/>
    </w:pPr>
    <w:rPr>
      <w:b/>
      <w:sz w:val="36"/>
    </w:rPr>
  </w:style>
  <w:style w:type="paragraph" w:styleId="30">
    <w:name w:val="Body Text 3"/>
    <w:basedOn w:val="a"/>
    <w:pPr>
      <w:jc w:val="center"/>
    </w:pPr>
    <w:rPr>
      <w:b/>
      <w:sz w:val="48"/>
    </w:rPr>
  </w:style>
  <w:style w:type="paragraph" w:styleId="21">
    <w:name w:val="Body Text Indent 2"/>
    <w:basedOn w:val="a"/>
    <w:pPr>
      <w:spacing w:line="360" w:lineRule="auto"/>
      <w:ind w:firstLine="709"/>
      <w:jc w:val="both"/>
    </w:pPr>
    <w:rPr>
      <w:sz w:val="26"/>
    </w:rPr>
  </w:style>
  <w:style w:type="paragraph" w:styleId="a6">
    <w:name w:val="Plain Text"/>
    <w:basedOn w:val="a"/>
    <w:rPr>
      <w:rFonts w:ascii="Courier New" w:hAnsi="Courier New"/>
    </w:rPr>
  </w:style>
  <w:style w:type="paragraph" w:styleId="a7">
    <w:name w:val="footnote text"/>
    <w:basedOn w:val="a"/>
    <w:semiHidden/>
    <w:pPr>
      <w:spacing w:line="360" w:lineRule="auto"/>
      <w:ind w:firstLine="567"/>
      <w:jc w:val="both"/>
    </w:pPr>
    <w:rPr>
      <w:rFonts w:ascii="Baltica" w:hAnsi="Baltica"/>
    </w:rPr>
  </w:style>
  <w:style w:type="character" w:styleId="a8">
    <w:name w:val="footnote reference"/>
    <w:basedOn w:val="a0"/>
    <w:semiHidden/>
    <w:rPr>
      <w:vertAlign w:val="superscript"/>
    </w:rPr>
  </w:style>
  <w:style w:type="paragraph" w:styleId="a9">
    <w:name w:val="Body Text Indent"/>
    <w:basedOn w:val="a"/>
    <w:pPr>
      <w:spacing w:line="360" w:lineRule="auto"/>
      <w:ind w:firstLine="567"/>
      <w:jc w:val="both"/>
    </w:pPr>
    <w:rPr>
      <w:rFonts w:ascii="Courier New" w:hAnsi="Courier New"/>
    </w:rPr>
  </w:style>
  <w:style w:type="paragraph" w:styleId="31">
    <w:name w:val="Body Text Indent 3"/>
    <w:basedOn w:val="a"/>
    <w:pPr>
      <w:spacing w:line="360" w:lineRule="auto"/>
      <w:ind w:firstLine="567"/>
      <w:jc w:val="both"/>
    </w:pPr>
    <w:rPr>
      <w:sz w:val="26"/>
    </w:rPr>
  </w:style>
  <w:style w:type="character" w:styleId="aa">
    <w:name w:val="Hyperlink"/>
    <w:basedOn w:val="a0"/>
    <w:rPr>
      <w:color w:val="0000FF"/>
      <w:u w:val="single"/>
    </w:rPr>
  </w:style>
  <w:style w:type="paragraph" w:styleId="ab">
    <w:name w:val="Normal (Web)"/>
    <w:basedOn w:val="a"/>
    <w:pPr>
      <w:spacing w:beforeAutospacing="1" w:afterAutospacing="1"/>
    </w:pPr>
    <w:rPr>
      <w:rFonts w:ascii="Arial" w:eastAsia="Arial Unicode MS" w:hAnsi="Arial" w:cs="Arial"/>
      <w:sz w:val="18"/>
      <w:szCs w:val="18"/>
      <w:lang w:val="en-GB"/>
    </w:rPr>
  </w:style>
  <w:style w:type="character" w:styleId="ac">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rg.r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ational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9248</Words>
  <Characters>52720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Company>
  <LinksUpToDate>false</LinksUpToDate>
  <CharactersWithSpaces>61845</CharactersWithSpaces>
  <SharedDoc>false</SharedDoc>
  <HLinks>
    <vt:vector size="12" baseType="variant">
      <vt:variant>
        <vt:i4>131141</vt:i4>
      </vt:variant>
      <vt:variant>
        <vt:i4>24</vt:i4>
      </vt:variant>
      <vt:variant>
        <vt:i4>0</vt:i4>
      </vt:variant>
      <vt:variant>
        <vt:i4>5</vt:i4>
      </vt:variant>
      <vt:variant>
        <vt:lpwstr>http://www.rg.ru/</vt:lpwstr>
      </vt:variant>
      <vt:variant>
        <vt:lpwstr/>
      </vt:variant>
      <vt:variant>
        <vt:i4>6750267</vt:i4>
      </vt:variant>
      <vt:variant>
        <vt:i4>21</vt:i4>
      </vt:variant>
      <vt:variant>
        <vt:i4>0</vt:i4>
      </vt:variant>
      <vt:variant>
        <vt:i4>5</vt:i4>
      </vt:variant>
      <vt:variant>
        <vt:lpwstr>http://www.nationalbank.kz/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Мы</dc:creator>
  <cp:keywords/>
  <cp:lastModifiedBy>admin</cp:lastModifiedBy>
  <cp:revision>2</cp:revision>
  <cp:lastPrinted>2005-04-23T10:29:00Z</cp:lastPrinted>
  <dcterms:created xsi:type="dcterms:W3CDTF">2014-05-27T09:18:00Z</dcterms:created>
  <dcterms:modified xsi:type="dcterms:W3CDTF">2014-05-27T09:18:00Z</dcterms:modified>
</cp:coreProperties>
</file>