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49E" w:rsidRDefault="00EE249E" w:rsidP="005A2A01">
      <w:pPr>
        <w:jc w:val="center"/>
        <w:rPr>
          <w:rFonts w:ascii="Times New Roman" w:hAnsi="Times New Roman"/>
          <w:b/>
        </w:rPr>
      </w:pPr>
    </w:p>
    <w:p w:rsidR="00CE1B66" w:rsidRPr="006B507D" w:rsidRDefault="00CE1B66" w:rsidP="005A2A01">
      <w:pPr>
        <w:jc w:val="center"/>
        <w:rPr>
          <w:rFonts w:ascii="Times New Roman" w:hAnsi="Times New Roman"/>
          <w:b/>
        </w:rPr>
      </w:pPr>
    </w:p>
    <w:p w:rsidR="00CE1B66" w:rsidRPr="009D59B8" w:rsidRDefault="00CE1B66" w:rsidP="009D59B8">
      <w:pPr>
        <w:spacing w:after="0" w:line="360" w:lineRule="auto"/>
        <w:jc w:val="center"/>
        <w:rPr>
          <w:rFonts w:ascii="Times New Roman" w:hAnsi="Times New Roman"/>
          <w:b/>
          <w:sz w:val="28"/>
          <w:szCs w:val="28"/>
        </w:rPr>
      </w:pPr>
      <w:r w:rsidRPr="009D59B8">
        <w:rPr>
          <w:rFonts w:ascii="Times New Roman" w:hAnsi="Times New Roman"/>
          <w:b/>
          <w:sz w:val="28"/>
          <w:szCs w:val="28"/>
        </w:rPr>
        <w:t>Транснациональные корпорации</w:t>
      </w:r>
    </w:p>
    <w:p w:rsidR="00CE1B66" w:rsidRDefault="00CE1B66" w:rsidP="009034FC">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Транснациональная компания</w:t>
      </w:r>
      <w:r w:rsidRPr="009D59B8">
        <w:rPr>
          <w:rFonts w:ascii="Times New Roman" w:hAnsi="Times New Roman"/>
          <w:sz w:val="28"/>
          <w:szCs w:val="28"/>
        </w:rPr>
        <w:t xml:space="preserve"> – предпринимательское объединение, зарегистрированное в одной из стран и действующее на территории многих стран посредством зарубежных филиалов, либо дочерних предпринимательских фирм. </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Страна базирования</w:t>
      </w:r>
      <w:r w:rsidRPr="009D59B8">
        <w:rPr>
          <w:rFonts w:ascii="Times New Roman" w:hAnsi="Times New Roman"/>
          <w:sz w:val="28"/>
          <w:szCs w:val="28"/>
        </w:rPr>
        <w:t xml:space="preserve"> - страна, в которой находится штаб-квартира ТНК.</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Принимающие страны</w:t>
      </w:r>
      <w:r w:rsidRPr="009D59B8">
        <w:rPr>
          <w:rFonts w:ascii="Times New Roman" w:hAnsi="Times New Roman"/>
          <w:sz w:val="28"/>
          <w:szCs w:val="28"/>
        </w:rPr>
        <w:t xml:space="preserve"> - страны, в которых размещена собственность ТНК.</w:t>
      </w:r>
    </w:p>
    <w:p w:rsidR="00CE1B66" w:rsidRPr="009D59B8" w:rsidRDefault="00CE1B66" w:rsidP="009D59B8">
      <w:pPr>
        <w:spacing w:after="0" w:line="360" w:lineRule="auto"/>
        <w:ind w:firstLine="709"/>
        <w:jc w:val="both"/>
        <w:rPr>
          <w:rFonts w:ascii="Times New Roman" w:hAnsi="Times New Roman"/>
          <w:b/>
          <w:sz w:val="28"/>
          <w:szCs w:val="28"/>
        </w:rPr>
      </w:pPr>
      <w:r w:rsidRPr="009D59B8">
        <w:rPr>
          <w:rFonts w:ascii="Times New Roman" w:hAnsi="Times New Roman"/>
          <w:b/>
          <w:sz w:val="28"/>
          <w:szCs w:val="28"/>
        </w:rPr>
        <w:t>Выделяют следующие основные качественные признаки ТНК:</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особенности реализации: фирма реализует значительную часть своей продукции за рубежом, оказывая тем самым заметное влияние на мировой рынок;</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особенности размещения производства: в зарубежных странах находятся некоторые ее дочерние предприятия и филиалы;</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особенности прав собственности: собственники этой фирмы являются резидентами (гражданами) различных стран.</w:t>
      </w:r>
    </w:p>
    <w:p w:rsidR="00CE1B66" w:rsidRPr="009D59B8" w:rsidRDefault="00CE1B66" w:rsidP="00DB7D0F">
      <w:pPr>
        <w:spacing w:after="0" w:line="360" w:lineRule="auto"/>
        <w:ind w:firstLine="709"/>
        <w:jc w:val="both"/>
        <w:rPr>
          <w:rFonts w:ascii="Times New Roman" w:hAnsi="Times New Roman"/>
          <w:sz w:val="28"/>
          <w:szCs w:val="28"/>
        </w:rPr>
      </w:pPr>
      <w:r w:rsidRPr="009D59B8">
        <w:rPr>
          <w:rFonts w:ascii="Times New Roman" w:hAnsi="Times New Roman"/>
          <w:sz w:val="28"/>
          <w:szCs w:val="28"/>
        </w:rPr>
        <w:t xml:space="preserve">Фирме достаточно иметь хотя бы один из перечисленных признаков, чтобы попасть в категорию транснациональных корпораций. Некоторые крупные компании обладают всеми этими тремя признаками одновременно. Наиболее важным считается первый признак. Абсолютным лидером по этому критерию является сейчас швейцарская фирма «Нэстле» («Nestle»), которая экспортирует более 98% своей продукции. Что касается интернационализации производства и собственности, то эти два признака могут и отсутствовать. </w:t>
      </w:r>
      <w:r>
        <w:rPr>
          <w:rFonts w:ascii="Times New Roman" w:hAnsi="Times New Roman"/>
          <w:sz w:val="28"/>
          <w:szCs w:val="28"/>
        </w:rPr>
        <w:t xml:space="preserve"> </w:t>
      </w:r>
      <w:r w:rsidRPr="009D59B8">
        <w:rPr>
          <w:rFonts w:ascii="Times New Roman" w:hAnsi="Times New Roman"/>
          <w:sz w:val="28"/>
          <w:szCs w:val="28"/>
        </w:rPr>
        <w:t xml:space="preserve">По масштабам деятельности все ТНК делят на крупные и малые. Если малые ТНК имеют в среднем по 3–4 зарубежных филиала, то у крупных ТНК их число измеряется десятками и даже сотнями. </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Развитие ТНК. На первом этапе</w:t>
      </w:r>
      <w:r w:rsidRPr="009D59B8">
        <w:rPr>
          <w:rFonts w:ascii="Times New Roman" w:hAnsi="Times New Roman"/>
          <w:sz w:val="28"/>
          <w:szCs w:val="28"/>
        </w:rPr>
        <w:t>, в начале 20 в., ТНК инвестировали средства прежде всего в сырьевые отрасли экономически слабо</w:t>
      </w:r>
      <w:r>
        <w:rPr>
          <w:rFonts w:ascii="Times New Roman" w:hAnsi="Times New Roman"/>
          <w:sz w:val="28"/>
          <w:szCs w:val="28"/>
        </w:rPr>
        <w:t>развитых иностранных государств</w:t>
      </w:r>
      <w:r w:rsidRPr="009D59B8">
        <w:rPr>
          <w:rFonts w:ascii="Times New Roman" w:hAnsi="Times New Roman"/>
          <w:sz w:val="28"/>
          <w:szCs w:val="28"/>
        </w:rPr>
        <w:t xml:space="preserve">. Налаживать высокотехнологичное промышленное производство за рубежом тогда было невыгодно. </w:t>
      </w:r>
      <w:r>
        <w:rPr>
          <w:rFonts w:ascii="Times New Roman" w:hAnsi="Times New Roman"/>
          <w:sz w:val="28"/>
          <w:szCs w:val="28"/>
        </w:rPr>
        <w:t>В</w:t>
      </w:r>
      <w:r w:rsidRPr="009D59B8">
        <w:rPr>
          <w:rFonts w:ascii="Times New Roman" w:hAnsi="Times New Roman"/>
          <w:sz w:val="28"/>
          <w:szCs w:val="28"/>
        </w:rPr>
        <w:t xml:space="preserve"> принимающих странах отсутствовал персонал необходимой квалификации, а технологии еще не достигли высокой степени автоматизации. Субъектами транснационализации в этот период выступали обычно объединения фирм разных стран (международные </w:t>
      </w:r>
      <w:r w:rsidRPr="009D59B8">
        <w:rPr>
          <w:rFonts w:ascii="Times New Roman" w:hAnsi="Times New Roman"/>
          <w:b/>
          <w:sz w:val="28"/>
          <w:szCs w:val="28"/>
        </w:rPr>
        <w:t>картели</w:t>
      </w:r>
      <w:r w:rsidRPr="009D59B8">
        <w:rPr>
          <w:rFonts w:ascii="Times New Roman" w:hAnsi="Times New Roman"/>
          <w:sz w:val="28"/>
          <w:szCs w:val="28"/>
        </w:rPr>
        <w:t>), которые делили рынки сбыта, проводили согласованную ценовую политику и т.д.</w:t>
      </w:r>
    </w:p>
    <w:p w:rsidR="00CE1B66" w:rsidRPr="004763E4"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Второй этап эволюции ТНК</w:t>
      </w:r>
      <w:r w:rsidRPr="009D59B8">
        <w:rPr>
          <w:rFonts w:ascii="Times New Roman" w:hAnsi="Times New Roman"/>
          <w:sz w:val="28"/>
          <w:szCs w:val="28"/>
        </w:rPr>
        <w:t>, с середины 20 в</w:t>
      </w:r>
      <w:r>
        <w:rPr>
          <w:rFonts w:ascii="Times New Roman" w:hAnsi="Times New Roman"/>
          <w:sz w:val="28"/>
          <w:szCs w:val="28"/>
        </w:rPr>
        <w:t>.</w:t>
      </w:r>
      <w:r w:rsidRPr="009D59B8">
        <w:rPr>
          <w:rFonts w:ascii="Times New Roman" w:hAnsi="Times New Roman"/>
          <w:sz w:val="28"/>
          <w:szCs w:val="28"/>
        </w:rPr>
        <w:t xml:space="preserve"> Производственные зарубежные отделения </w:t>
      </w:r>
      <w:r w:rsidRPr="009D59B8">
        <w:rPr>
          <w:rFonts w:ascii="Times New Roman" w:hAnsi="Times New Roman"/>
          <w:b/>
          <w:sz w:val="28"/>
          <w:szCs w:val="28"/>
        </w:rPr>
        <w:t>начали специализироваться в основном на производстве той же продукции, которая ранее производилась в «родной» для ТНК стране.</w:t>
      </w:r>
      <w:r w:rsidRPr="009D59B8">
        <w:rPr>
          <w:rFonts w:ascii="Times New Roman" w:hAnsi="Times New Roman"/>
          <w:sz w:val="28"/>
          <w:szCs w:val="28"/>
        </w:rPr>
        <w:t xml:space="preserve"> Постепенно филиалы ТНК все более и более переориентируются </w:t>
      </w:r>
      <w:r w:rsidRPr="009034FC">
        <w:rPr>
          <w:rFonts w:ascii="Times New Roman" w:hAnsi="Times New Roman"/>
          <w:b/>
          <w:sz w:val="28"/>
          <w:szCs w:val="28"/>
        </w:rPr>
        <w:t>на обслуживание местного спроса</w:t>
      </w:r>
      <w:r w:rsidRPr="009D59B8">
        <w:rPr>
          <w:rFonts w:ascii="Times New Roman" w:hAnsi="Times New Roman"/>
          <w:sz w:val="28"/>
          <w:szCs w:val="28"/>
        </w:rPr>
        <w:t xml:space="preserve"> и на местные рынки. </w:t>
      </w:r>
      <w:r>
        <w:rPr>
          <w:rFonts w:ascii="Times New Roman" w:hAnsi="Times New Roman"/>
          <w:sz w:val="28"/>
          <w:szCs w:val="28"/>
        </w:rPr>
        <w:t>В</w:t>
      </w:r>
      <w:r w:rsidRPr="009D59B8">
        <w:rPr>
          <w:rFonts w:ascii="Times New Roman" w:hAnsi="Times New Roman"/>
          <w:sz w:val="28"/>
          <w:szCs w:val="28"/>
        </w:rPr>
        <w:t xml:space="preserve">озникают </w:t>
      </w:r>
      <w:r w:rsidRPr="009D59B8">
        <w:rPr>
          <w:rFonts w:ascii="Times New Roman" w:hAnsi="Times New Roman"/>
          <w:b/>
          <w:sz w:val="28"/>
          <w:szCs w:val="28"/>
        </w:rPr>
        <w:t>национальные фирмы</w:t>
      </w:r>
      <w:r w:rsidRPr="009D59B8">
        <w:rPr>
          <w:rFonts w:ascii="Times New Roman" w:hAnsi="Times New Roman"/>
          <w:sz w:val="28"/>
          <w:szCs w:val="28"/>
        </w:rPr>
        <w:t>, достаточно крупные, чтобы проводить самостоятельную внешне</w:t>
      </w:r>
      <w:r>
        <w:rPr>
          <w:rFonts w:ascii="Times New Roman" w:hAnsi="Times New Roman"/>
          <w:sz w:val="28"/>
          <w:szCs w:val="28"/>
        </w:rPr>
        <w:t>экономическую стратегию. В</w:t>
      </w:r>
      <w:r w:rsidRPr="009D59B8">
        <w:rPr>
          <w:rFonts w:ascii="Times New Roman" w:hAnsi="Times New Roman"/>
          <w:sz w:val="28"/>
          <w:szCs w:val="28"/>
        </w:rPr>
        <w:t xml:space="preserve"> 1960-е появляется  термин «транснациональные корпорации». Быстрый рост числа и значения ТНК с 1960-х происходил во многом под влиянием научно-технической революции. </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b/>
          <w:sz w:val="28"/>
          <w:szCs w:val="28"/>
        </w:rPr>
        <w:t>На современном этапе</w:t>
      </w:r>
      <w:r w:rsidRPr="009D59B8">
        <w:rPr>
          <w:rFonts w:ascii="Times New Roman" w:hAnsi="Times New Roman"/>
          <w:sz w:val="28"/>
          <w:szCs w:val="28"/>
        </w:rPr>
        <w:t xml:space="preserve">, с конца 20 в., </w:t>
      </w:r>
      <w:r>
        <w:rPr>
          <w:rFonts w:ascii="Times New Roman" w:hAnsi="Times New Roman"/>
          <w:sz w:val="28"/>
          <w:szCs w:val="28"/>
        </w:rPr>
        <w:t>создание</w:t>
      </w:r>
      <w:r w:rsidRPr="009D59B8">
        <w:rPr>
          <w:rFonts w:ascii="Times New Roman" w:hAnsi="Times New Roman"/>
          <w:sz w:val="28"/>
          <w:szCs w:val="28"/>
        </w:rPr>
        <w:t xml:space="preserve"> </w:t>
      </w:r>
      <w:r w:rsidRPr="009D59B8">
        <w:rPr>
          <w:rFonts w:ascii="Times New Roman" w:hAnsi="Times New Roman"/>
          <w:b/>
          <w:sz w:val="28"/>
          <w:szCs w:val="28"/>
        </w:rPr>
        <w:t>сетей производства и реализации глобального масштаба.</w:t>
      </w:r>
      <w:r w:rsidRPr="009D59B8">
        <w:rPr>
          <w:rFonts w:ascii="Times New Roman" w:hAnsi="Times New Roman"/>
          <w:sz w:val="28"/>
          <w:szCs w:val="28"/>
        </w:rPr>
        <w:t xml:space="preserve"> </w:t>
      </w:r>
      <w:r>
        <w:rPr>
          <w:rFonts w:ascii="Times New Roman" w:hAnsi="Times New Roman"/>
          <w:sz w:val="28"/>
          <w:szCs w:val="28"/>
        </w:rPr>
        <w:t>М</w:t>
      </w:r>
      <w:r w:rsidRPr="009D59B8">
        <w:rPr>
          <w:rFonts w:ascii="Times New Roman" w:hAnsi="Times New Roman"/>
          <w:sz w:val="28"/>
          <w:szCs w:val="28"/>
        </w:rPr>
        <w:t>ест</w:t>
      </w:r>
      <w:r>
        <w:rPr>
          <w:rFonts w:ascii="Times New Roman" w:hAnsi="Times New Roman"/>
          <w:sz w:val="28"/>
          <w:szCs w:val="28"/>
        </w:rPr>
        <w:t>о</w:t>
      </w:r>
      <w:r w:rsidRPr="009D59B8">
        <w:rPr>
          <w:rFonts w:ascii="Times New Roman" w:hAnsi="Times New Roman"/>
          <w:sz w:val="28"/>
          <w:szCs w:val="28"/>
        </w:rPr>
        <w:t xml:space="preserve"> для создания дочерних фирм </w:t>
      </w:r>
      <w:r>
        <w:rPr>
          <w:rFonts w:ascii="Times New Roman" w:hAnsi="Times New Roman"/>
          <w:sz w:val="28"/>
          <w:szCs w:val="28"/>
        </w:rPr>
        <w:t>зависит от</w:t>
      </w:r>
      <w:r w:rsidRPr="009D59B8">
        <w:rPr>
          <w:rFonts w:ascii="Times New Roman" w:hAnsi="Times New Roman"/>
          <w:b/>
          <w:sz w:val="28"/>
          <w:szCs w:val="28"/>
        </w:rPr>
        <w:t xml:space="preserve"> производственных издержек, которые часто более низки в развивающихся странах</w:t>
      </w:r>
      <w:r w:rsidRPr="009D59B8">
        <w:rPr>
          <w:rFonts w:ascii="Times New Roman" w:hAnsi="Times New Roman"/>
          <w:sz w:val="28"/>
          <w:szCs w:val="28"/>
        </w:rPr>
        <w:t xml:space="preserve">; продается же продукция там, где на нее выше </w:t>
      </w:r>
      <w:r w:rsidRPr="003266F1">
        <w:rPr>
          <w:rFonts w:ascii="Times New Roman" w:hAnsi="Times New Roman"/>
          <w:b/>
          <w:sz w:val="28"/>
          <w:szCs w:val="28"/>
        </w:rPr>
        <w:t>спрос</w:t>
      </w:r>
      <w:r w:rsidRPr="009D59B8">
        <w:rPr>
          <w:rFonts w:ascii="Times New Roman" w:hAnsi="Times New Roman"/>
          <w:sz w:val="28"/>
          <w:szCs w:val="28"/>
        </w:rPr>
        <w:t>, – главным образом, в развитых странах. Вот почему, например, жители современной Германии покупают технику германской фир</w:t>
      </w:r>
      <w:r>
        <w:rPr>
          <w:rFonts w:ascii="Times New Roman" w:hAnsi="Times New Roman"/>
          <w:sz w:val="28"/>
          <w:szCs w:val="28"/>
        </w:rPr>
        <w:t xml:space="preserve">мы «Bosh», произведенную </w:t>
      </w:r>
      <w:r w:rsidRPr="009D59B8">
        <w:rPr>
          <w:rFonts w:ascii="Times New Roman" w:hAnsi="Times New Roman"/>
          <w:sz w:val="28"/>
          <w:szCs w:val="28"/>
        </w:rPr>
        <w:t xml:space="preserve"> не в Германии, а в Южной Корее. </w:t>
      </w:r>
    </w:p>
    <w:p w:rsidR="00CE1B66" w:rsidRDefault="00CE1B66" w:rsidP="009D59B8">
      <w:pPr>
        <w:spacing w:after="0" w:line="360" w:lineRule="auto"/>
        <w:ind w:firstLine="709"/>
        <w:jc w:val="both"/>
        <w:rPr>
          <w:rFonts w:ascii="Times New Roman" w:hAnsi="Times New Roman"/>
          <w:b/>
          <w:sz w:val="28"/>
          <w:szCs w:val="28"/>
        </w:rPr>
      </w:pPr>
      <w:r w:rsidRPr="009D59B8">
        <w:rPr>
          <w:rFonts w:ascii="Times New Roman" w:hAnsi="Times New Roman"/>
          <w:b/>
          <w:sz w:val="28"/>
          <w:szCs w:val="28"/>
        </w:rPr>
        <w:t>Масштабы современных ТНК.</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ТНК контролируют примерно 2/3 мировой торговли;</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на них приходится около 1/2 мирового промышленного производства;</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на предприятиях ТНК работает примерно 10% всех занятых в несельскохозяйственном производстве;</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ТНК контролируют примерно 4/5 всех существующих в мире патентов, лицензий и ноу-хау.</w:t>
      </w:r>
    </w:p>
    <w:p w:rsidR="00CE1B66" w:rsidRPr="009D59B8"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xml:space="preserve">Первоначально самой крупной отраслевой группой ТНК были </w:t>
      </w:r>
      <w:r w:rsidRPr="009D59B8">
        <w:rPr>
          <w:rFonts w:ascii="Times New Roman" w:hAnsi="Times New Roman"/>
          <w:b/>
          <w:sz w:val="28"/>
          <w:szCs w:val="28"/>
        </w:rPr>
        <w:t>сырьедобывающие фирмы</w:t>
      </w:r>
      <w:r w:rsidRPr="009D59B8">
        <w:rPr>
          <w:rFonts w:ascii="Times New Roman" w:hAnsi="Times New Roman"/>
          <w:sz w:val="28"/>
          <w:szCs w:val="28"/>
        </w:rPr>
        <w:t xml:space="preserve">. Нефтяной кризис 1973 привел к резкому росту роли нефтяных ТНК, в 1980-е, с ослаблением «нефтяного голода», их влияние уменьшилось, наибольшее значение приобрели </w:t>
      </w:r>
      <w:r w:rsidRPr="009D59B8">
        <w:rPr>
          <w:rFonts w:ascii="Times New Roman" w:hAnsi="Times New Roman"/>
          <w:b/>
          <w:sz w:val="28"/>
          <w:szCs w:val="28"/>
        </w:rPr>
        <w:t>автомобилестроительные и электротехнические ТНК.</w:t>
      </w:r>
      <w:r w:rsidRPr="009D59B8">
        <w:rPr>
          <w:rFonts w:ascii="Times New Roman" w:hAnsi="Times New Roman"/>
          <w:sz w:val="28"/>
          <w:szCs w:val="28"/>
        </w:rPr>
        <w:t xml:space="preserve"> По мере развития НТР на передний план стали вырываться </w:t>
      </w:r>
      <w:r w:rsidRPr="009D59B8">
        <w:rPr>
          <w:rFonts w:ascii="Times New Roman" w:hAnsi="Times New Roman"/>
          <w:b/>
          <w:sz w:val="28"/>
          <w:szCs w:val="28"/>
        </w:rPr>
        <w:t xml:space="preserve">фирмы из высокотехнологической сферы услуг </w:t>
      </w:r>
      <w:r w:rsidRPr="009D59B8">
        <w:rPr>
          <w:rFonts w:ascii="Times New Roman" w:hAnsi="Times New Roman"/>
          <w:sz w:val="28"/>
          <w:szCs w:val="28"/>
        </w:rPr>
        <w:t>– такие как америка</w:t>
      </w:r>
      <w:r>
        <w:rPr>
          <w:rFonts w:ascii="Times New Roman" w:hAnsi="Times New Roman"/>
          <w:sz w:val="28"/>
          <w:szCs w:val="28"/>
        </w:rPr>
        <w:t>нская корпорация «Майкрософт»,</w:t>
      </w:r>
      <w:r w:rsidRPr="009D59B8">
        <w:rPr>
          <w:rFonts w:ascii="Times New Roman" w:hAnsi="Times New Roman"/>
          <w:sz w:val="28"/>
          <w:szCs w:val="28"/>
        </w:rPr>
        <w:t>монополист в производстве программного обеспечения, электронная торговая компания «Wal-Mart Stores Inc.».</w:t>
      </w:r>
    </w:p>
    <w:p w:rsidR="00CE1B66" w:rsidRPr="00484E62" w:rsidRDefault="00CE1B66" w:rsidP="009D59B8">
      <w:pPr>
        <w:spacing w:after="0" w:line="360" w:lineRule="auto"/>
        <w:ind w:firstLine="709"/>
        <w:jc w:val="both"/>
        <w:rPr>
          <w:rFonts w:ascii="Times New Roman" w:hAnsi="Times New Roman"/>
          <w:sz w:val="28"/>
          <w:szCs w:val="28"/>
        </w:rPr>
      </w:pPr>
      <w:r w:rsidRPr="009D59B8">
        <w:rPr>
          <w:rFonts w:ascii="Times New Roman" w:hAnsi="Times New Roman"/>
          <w:sz w:val="28"/>
          <w:szCs w:val="28"/>
        </w:rPr>
        <w:t xml:space="preserve">Состав ТНК становится с течением времени все более интернациональным по их происхождению. Среди </w:t>
      </w:r>
      <w:r w:rsidRPr="009D59B8">
        <w:rPr>
          <w:rFonts w:ascii="Times New Roman" w:hAnsi="Times New Roman"/>
          <w:b/>
          <w:sz w:val="28"/>
          <w:szCs w:val="28"/>
        </w:rPr>
        <w:t>десятки самых крупных фирм мира абсолютно преобладают американские фирмы</w:t>
      </w:r>
      <w:r>
        <w:rPr>
          <w:rFonts w:ascii="Times New Roman" w:hAnsi="Times New Roman"/>
          <w:sz w:val="28"/>
          <w:szCs w:val="28"/>
        </w:rPr>
        <w:t xml:space="preserve"> (Табл. 1</w:t>
      </w:r>
      <w:r w:rsidRPr="009D59B8">
        <w:rPr>
          <w:rFonts w:ascii="Times New Roman" w:hAnsi="Times New Roman"/>
          <w:sz w:val="28"/>
          <w:szCs w:val="28"/>
        </w:rPr>
        <w:t xml:space="preserve">). По данным журнала «Fortune», </w:t>
      </w:r>
      <w:r w:rsidRPr="009D59B8">
        <w:rPr>
          <w:rFonts w:ascii="Times New Roman" w:hAnsi="Times New Roman"/>
          <w:b/>
          <w:sz w:val="28"/>
          <w:szCs w:val="28"/>
        </w:rPr>
        <w:t>эволюция шла от абсолютного преобладания американских фирм в 1950-е к доминированию западноевропейских фирм с 1980-х</w:t>
      </w:r>
      <w:r w:rsidRPr="009D59B8">
        <w:rPr>
          <w:rFonts w:ascii="Times New Roman" w:hAnsi="Times New Roman"/>
          <w:sz w:val="28"/>
          <w:szCs w:val="28"/>
        </w:rPr>
        <w:t xml:space="preserve">. Эта тенденция заметна и по составу всех ТНК: </w:t>
      </w:r>
      <w:r w:rsidRPr="009D59B8">
        <w:rPr>
          <w:rFonts w:ascii="Times New Roman" w:hAnsi="Times New Roman"/>
          <w:b/>
          <w:sz w:val="28"/>
          <w:szCs w:val="28"/>
        </w:rPr>
        <w:t>в 1970</w:t>
      </w:r>
      <w:r w:rsidRPr="009D59B8">
        <w:rPr>
          <w:rFonts w:ascii="Times New Roman" w:hAnsi="Times New Roman"/>
          <w:sz w:val="28"/>
          <w:szCs w:val="28"/>
        </w:rPr>
        <w:t xml:space="preserve"> более половины ТНК планеты были из двух стран, </w:t>
      </w:r>
      <w:r w:rsidRPr="009D59B8">
        <w:rPr>
          <w:rFonts w:ascii="Times New Roman" w:hAnsi="Times New Roman"/>
          <w:b/>
          <w:sz w:val="28"/>
          <w:szCs w:val="28"/>
        </w:rPr>
        <w:t>Америки и Великобритании; сейчас из всех ТНК на Америку, Японию, Германию и Швейцарию вместе взятые приходится лишь примерно половина</w:t>
      </w:r>
      <w:r w:rsidRPr="009D59B8">
        <w:rPr>
          <w:rFonts w:ascii="Times New Roman" w:hAnsi="Times New Roman"/>
          <w:sz w:val="28"/>
          <w:szCs w:val="28"/>
        </w:rPr>
        <w:t>. Растет число и значение ТНК из развивающихся стран (особенно – из азиатских «драконов», таких как Тайвань, Южная Корея, КНР). Ожидается, что в ближайшие годы будет продолжаться увеличение среди ТНК доли фирм из новых индустриальных стран третьего мира и из стран с переходной экономикой.</w:t>
      </w:r>
    </w:p>
    <w:p w:rsidR="00CE1B66" w:rsidRDefault="00CE1B66" w:rsidP="00484E62">
      <w:pPr>
        <w:jc w:val="both"/>
        <w:rPr>
          <w:rFonts w:ascii="Times New Roman" w:hAnsi="Times New Roman"/>
          <w:color w:val="000000"/>
          <w:sz w:val="24"/>
          <w:szCs w:val="24"/>
          <w:lang w:eastAsia="ru-RU"/>
        </w:rPr>
      </w:pPr>
      <w:r w:rsidRPr="00484E62">
        <w:rPr>
          <w:rFonts w:ascii="Times New Roman" w:hAnsi="Times New Roman"/>
          <w:b/>
          <w:sz w:val="24"/>
          <w:szCs w:val="24"/>
        </w:rPr>
        <w:t>Таблица 1.</w:t>
      </w:r>
      <w:r w:rsidRPr="0036532F">
        <w:rPr>
          <w:rFonts w:ascii="Times New Roman" w:hAnsi="Times New Roman"/>
          <w:sz w:val="24"/>
          <w:szCs w:val="24"/>
        </w:rPr>
        <w:t xml:space="preserve">  </w:t>
      </w:r>
      <w:r w:rsidRPr="0036532F">
        <w:rPr>
          <w:rFonts w:ascii="Times New Roman" w:hAnsi="Times New Roman"/>
          <w:color w:val="000000"/>
          <w:sz w:val="24"/>
          <w:szCs w:val="24"/>
          <w:lang w:eastAsia="ru-RU"/>
        </w:rPr>
        <w:t>Ранг по объему зарубежных активов</w:t>
      </w:r>
      <w:r w:rsidRPr="00FF3386">
        <w:rPr>
          <w:rFonts w:ascii="Times New Roman" w:hAnsi="Times New Roman"/>
          <w:color w:val="000000"/>
          <w:sz w:val="24"/>
          <w:szCs w:val="24"/>
          <w:lang w:eastAsia="ru-RU"/>
        </w:rPr>
        <w:t>(</w:t>
      </w:r>
      <w:r>
        <w:rPr>
          <w:rFonts w:ascii="Times New Roman" w:hAnsi="Times New Roman"/>
          <w:color w:val="000000"/>
          <w:sz w:val="24"/>
          <w:szCs w:val="24"/>
          <w:lang w:eastAsia="ru-RU"/>
        </w:rPr>
        <w:t>2008</w:t>
      </w:r>
      <w:r w:rsidRPr="00FF3386">
        <w:rPr>
          <w:rFonts w:ascii="Times New Roman" w:hAnsi="Times New Roman"/>
          <w:color w:val="000000"/>
          <w:sz w:val="24"/>
          <w:szCs w:val="24"/>
          <w:lang w:eastAsia="ru-RU"/>
        </w:rPr>
        <w:t>)</w:t>
      </w:r>
      <w:r w:rsidRPr="0036532F">
        <w:rPr>
          <w:rFonts w:ascii="Times New Roman" w:hAnsi="Times New Roman"/>
          <w:color w:val="000000"/>
          <w:sz w:val="24"/>
          <w:szCs w:val="24"/>
          <w:lang w:eastAsia="ru-RU"/>
        </w:rPr>
        <w:t>:</w:t>
      </w:r>
    </w:p>
    <w:tbl>
      <w:tblPr>
        <w:tblW w:w="5000" w:type="pct"/>
        <w:tblLayout w:type="fixed"/>
        <w:tblLook w:val="00A0" w:firstRow="1" w:lastRow="0" w:firstColumn="1" w:lastColumn="0" w:noHBand="0" w:noVBand="0"/>
      </w:tblPr>
      <w:tblGrid>
        <w:gridCol w:w="2943"/>
        <w:gridCol w:w="6804"/>
        <w:gridCol w:w="1242"/>
      </w:tblGrid>
      <w:tr w:rsidR="00CE1B66" w:rsidRPr="002B6098" w:rsidTr="00131C4E">
        <w:trPr>
          <w:trHeight w:val="300"/>
        </w:trPr>
        <w:tc>
          <w:tcPr>
            <w:tcW w:w="1339" w:type="pct"/>
            <w:tcBorders>
              <w:top w:val="single" w:sz="4" w:space="0" w:color="auto"/>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Компании</w:t>
            </w:r>
          </w:p>
        </w:tc>
        <w:tc>
          <w:tcPr>
            <w:tcW w:w="3096" w:type="pct"/>
            <w:tcBorders>
              <w:top w:val="single" w:sz="4" w:space="0" w:color="auto"/>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Характеристика</w:t>
            </w:r>
          </w:p>
        </w:tc>
        <w:tc>
          <w:tcPr>
            <w:tcW w:w="565" w:type="pct"/>
            <w:tcBorders>
              <w:top w:val="single" w:sz="4" w:space="0" w:color="auto"/>
              <w:left w:val="nil"/>
              <w:bottom w:val="single" w:sz="4" w:space="0" w:color="auto"/>
              <w:right w:val="single" w:sz="4" w:space="0" w:color="auto"/>
            </w:tcBorders>
            <w:noWrap/>
          </w:tcPr>
          <w:p w:rsidR="00CE1B66" w:rsidRPr="003266F1" w:rsidRDefault="00CE1B66" w:rsidP="00131C4E">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 xml:space="preserve">Зарубежные активы, % </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General Electric (США)</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2B6098">
              <w:rPr>
                <w:rFonts w:ascii="Times New Roman" w:hAnsi="Times New Roman"/>
                <w:sz w:val="20"/>
                <w:szCs w:val="20"/>
              </w:rPr>
              <w:t>американская машиностроительная корпорация, крупнейший в мире производитель многих видов техники, включая локомотивы, энергетические установки.</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34,8</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ExxonMobil Corporation (США)</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2B6098">
              <w:rPr>
                <w:rFonts w:ascii="Times New Roman" w:hAnsi="Times New Roman"/>
                <w:sz w:val="20"/>
                <w:szCs w:val="20"/>
              </w:rPr>
              <w:t>американская компания, крупнейшая частная нефтяная компания в мире. Штат Техас</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68,8</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Royal Dutch/Shell Group (Великобритания, Нидерланды)</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60,3</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General Motors (США)</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2B6098">
              <w:rPr>
                <w:rFonts w:ascii="Times New Roman" w:hAnsi="Times New Roman"/>
                <w:sz w:val="20"/>
                <w:szCs w:val="20"/>
              </w:rPr>
              <w:t>крупнейшая американская автомобильная корпорация, до 2007 года на протяжении 77 лет крупнейший производитель автомобилей в мире (с 2007 — Toyota). Производство налажено в 35 странах, продажа в 192 странах. Штаб-квартира расположена в Детройте</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24,9</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Ford Motor Company (США)</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2B6098">
              <w:rPr>
                <w:rFonts w:ascii="Times New Roman" w:hAnsi="Times New Roman"/>
                <w:sz w:val="20"/>
                <w:szCs w:val="20"/>
              </w:rPr>
              <w:t>североамериканская автомобилестроительная компания, производитель автомобилей под марками «Ford», «Mercury», «Lincoln», а также владелец марок «Volvo», «Mazda» и «Aston Martin»</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25</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Toyota Motor Corporation (Япония)</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2B6098">
              <w:rPr>
                <w:rFonts w:ascii="Times New Roman" w:hAnsi="Times New Roman"/>
                <w:sz w:val="20"/>
                <w:szCs w:val="20"/>
              </w:rPr>
              <w:t>крупнейшая японская автомобилестроительная корпорация, также предоставляющая финансовые услуги и имеющая несколько дополнительных направлений в бизнесе</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36,3</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DaimlerСhrysler AG (Германия)</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BD3B16">
              <w:rPr>
                <w:rFonts w:ascii="Times New Roman" w:hAnsi="Times New Roman"/>
                <w:color w:val="000000"/>
                <w:sz w:val="20"/>
                <w:szCs w:val="20"/>
                <w:lang w:eastAsia="ru-RU"/>
              </w:rPr>
              <w:t>германский автомобилестроительный концерн</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31,7</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Total Fina SA (Франция)</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63,2</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IBM (США)</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BD3B16">
              <w:rPr>
                <w:rFonts w:ascii="Times New Roman" w:hAnsi="Times New Roman"/>
                <w:color w:val="000000"/>
                <w:sz w:val="20"/>
                <w:szCs w:val="20"/>
                <w:lang w:eastAsia="ru-RU"/>
              </w:rPr>
              <w:t>один из крупнейших в мире производителей и поставщиков аппаратного и программного обеспечения, а также ИТ-сервисов и консалтинговых услуг.</w:t>
            </w: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51,1</w:t>
            </w:r>
          </w:p>
        </w:tc>
      </w:tr>
      <w:tr w:rsidR="00CE1B66" w:rsidRPr="002B6098" w:rsidTr="00131C4E">
        <w:trPr>
          <w:trHeight w:val="300"/>
        </w:trPr>
        <w:tc>
          <w:tcPr>
            <w:tcW w:w="1339" w:type="pct"/>
            <w:tcBorders>
              <w:top w:val="nil"/>
              <w:left w:val="single" w:sz="4" w:space="0" w:color="auto"/>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British Petroleum (Великобритания)</w:t>
            </w:r>
          </w:p>
        </w:tc>
        <w:tc>
          <w:tcPr>
            <w:tcW w:w="3096"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p>
        </w:tc>
        <w:tc>
          <w:tcPr>
            <w:tcW w:w="565" w:type="pct"/>
            <w:tcBorders>
              <w:top w:val="nil"/>
              <w:left w:val="nil"/>
              <w:bottom w:val="single" w:sz="4" w:space="0" w:color="auto"/>
              <w:right w:val="single" w:sz="4" w:space="0" w:color="auto"/>
            </w:tcBorders>
            <w:noWrap/>
          </w:tcPr>
          <w:p w:rsidR="00CE1B66" w:rsidRPr="003266F1" w:rsidRDefault="00CE1B66" w:rsidP="003266F1">
            <w:pPr>
              <w:spacing w:after="0" w:line="240" w:lineRule="auto"/>
              <w:rPr>
                <w:rFonts w:ascii="Times New Roman" w:hAnsi="Times New Roman"/>
                <w:color w:val="000000"/>
                <w:sz w:val="20"/>
                <w:szCs w:val="20"/>
                <w:lang w:eastAsia="ru-RU"/>
              </w:rPr>
            </w:pPr>
            <w:r w:rsidRPr="003266F1">
              <w:rPr>
                <w:rFonts w:ascii="Times New Roman" w:hAnsi="Times New Roman"/>
                <w:color w:val="000000"/>
                <w:sz w:val="20"/>
                <w:szCs w:val="20"/>
                <w:lang w:eastAsia="ru-RU"/>
              </w:rPr>
              <w:t>74,7</w:t>
            </w:r>
          </w:p>
        </w:tc>
      </w:tr>
    </w:tbl>
    <w:p w:rsidR="00CE1B66" w:rsidRPr="009034FC" w:rsidRDefault="00CE1B66" w:rsidP="009F70A8">
      <w:pPr>
        <w:spacing w:after="0" w:line="360" w:lineRule="auto"/>
        <w:jc w:val="both"/>
        <w:rPr>
          <w:rFonts w:ascii="Times New Roman" w:hAnsi="Times New Roman"/>
          <w:b/>
          <w:sz w:val="28"/>
          <w:szCs w:val="28"/>
        </w:rPr>
      </w:pPr>
      <w:r w:rsidRPr="009F70A8">
        <w:rPr>
          <w:rFonts w:ascii="Times New Roman" w:hAnsi="Times New Roman"/>
          <w:b/>
          <w:sz w:val="28"/>
          <w:szCs w:val="28"/>
        </w:rPr>
        <w:t>Европа:</w:t>
      </w:r>
      <w:r>
        <w:rPr>
          <w:rFonts w:ascii="Times New Roman" w:hAnsi="Times New Roman"/>
          <w:b/>
          <w:sz w:val="28"/>
          <w:szCs w:val="28"/>
        </w:rPr>
        <w:t xml:space="preserve"> </w:t>
      </w:r>
      <w:r w:rsidRPr="009F70A8">
        <w:rPr>
          <w:rFonts w:ascii="Times New Roman" w:hAnsi="Times New Roman"/>
          <w:sz w:val="28"/>
          <w:szCs w:val="28"/>
        </w:rPr>
        <w:t>Nestlе</w:t>
      </w:r>
      <w:r>
        <w:rPr>
          <w:rFonts w:ascii="Times New Roman" w:hAnsi="Times New Roman"/>
          <w:sz w:val="28"/>
          <w:szCs w:val="28"/>
        </w:rPr>
        <w:t>,</w:t>
      </w:r>
      <w:r w:rsidRPr="009F70A8">
        <w:rPr>
          <w:rFonts w:ascii="Times New Roman" w:hAnsi="Times New Roman"/>
          <w:sz w:val="28"/>
          <w:szCs w:val="28"/>
        </w:rPr>
        <w:t xml:space="preserve"> Gazprom </w:t>
      </w:r>
      <w:r>
        <w:rPr>
          <w:rFonts w:ascii="Times New Roman" w:hAnsi="Times New Roman"/>
          <w:b/>
          <w:sz w:val="28"/>
          <w:szCs w:val="28"/>
        </w:rPr>
        <w:t xml:space="preserve"> </w:t>
      </w:r>
      <w:r w:rsidRPr="009F70A8">
        <w:rPr>
          <w:rFonts w:ascii="Times New Roman" w:hAnsi="Times New Roman"/>
          <w:b/>
          <w:sz w:val="28"/>
          <w:szCs w:val="28"/>
        </w:rPr>
        <w:t>Азия</w:t>
      </w:r>
      <w:r w:rsidRPr="009034FC">
        <w:rPr>
          <w:rFonts w:ascii="Times New Roman" w:hAnsi="Times New Roman"/>
          <w:b/>
          <w:sz w:val="28"/>
          <w:szCs w:val="28"/>
        </w:rPr>
        <w:t xml:space="preserve"> </w:t>
      </w:r>
      <w:r w:rsidRPr="009F70A8">
        <w:rPr>
          <w:rFonts w:ascii="Times New Roman" w:hAnsi="Times New Roman"/>
          <w:b/>
          <w:sz w:val="28"/>
          <w:szCs w:val="28"/>
        </w:rPr>
        <w:t>и</w:t>
      </w:r>
      <w:r w:rsidRPr="009034FC">
        <w:rPr>
          <w:rFonts w:ascii="Times New Roman" w:hAnsi="Times New Roman"/>
          <w:b/>
          <w:sz w:val="28"/>
          <w:szCs w:val="28"/>
        </w:rPr>
        <w:t xml:space="preserve"> </w:t>
      </w:r>
      <w:r w:rsidRPr="009F70A8">
        <w:rPr>
          <w:rFonts w:ascii="Times New Roman" w:hAnsi="Times New Roman"/>
          <w:b/>
          <w:sz w:val="28"/>
          <w:szCs w:val="28"/>
        </w:rPr>
        <w:t>Океания</w:t>
      </w:r>
      <w:r w:rsidRPr="009034FC">
        <w:rPr>
          <w:rFonts w:ascii="Times New Roman" w:hAnsi="Times New Roman"/>
          <w:b/>
          <w:sz w:val="28"/>
          <w:szCs w:val="28"/>
        </w:rPr>
        <w:t xml:space="preserve">: </w:t>
      </w:r>
      <w:r w:rsidRPr="009F70A8">
        <w:rPr>
          <w:rFonts w:ascii="Times New Roman" w:hAnsi="Times New Roman"/>
          <w:sz w:val="28"/>
          <w:szCs w:val="28"/>
          <w:lang w:val="en-US"/>
        </w:rPr>
        <w:t>Samsung</w:t>
      </w:r>
      <w:r w:rsidRPr="009034FC">
        <w:rPr>
          <w:rFonts w:ascii="Times New Roman" w:hAnsi="Times New Roman"/>
          <w:sz w:val="28"/>
          <w:szCs w:val="28"/>
        </w:rPr>
        <w:t xml:space="preserve"> </w:t>
      </w:r>
      <w:r w:rsidRPr="009F70A8">
        <w:rPr>
          <w:rFonts w:ascii="Times New Roman" w:hAnsi="Times New Roman"/>
          <w:sz w:val="28"/>
          <w:szCs w:val="28"/>
          <w:lang w:val="en-US"/>
        </w:rPr>
        <w:t>Group</w:t>
      </w:r>
      <w:r w:rsidRPr="009034FC">
        <w:rPr>
          <w:rFonts w:ascii="Times New Roman" w:hAnsi="Times New Roman"/>
          <w:sz w:val="28"/>
          <w:szCs w:val="28"/>
        </w:rPr>
        <w:t xml:space="preserve">, </w:t>
      </w:r>
      <w:r w:rsidRPr="009F70A8">
        <w:rPr>
          <w:rFonts w:ascii="Times New Roman" w:hAnsi="Times New Roman"/>
          <w:sz w:val="28"/>
          <w:szCs w:val="28"/>
          <w:lang w:val="en-US"/>
        </w:rPr>
        <w:t>Epson</w:t>
      </w:r>
      <w:r w:rsidRPr="009034FC">
        <w:rPr>
          <w:rFonts w:ascii="Times New Roman" w:hAnsi="Times New Roman"/>
          <w:sz w:val="28"/>
          <w:szCs w:val="28"/>
        </w:rPr>
        <w:t xml:space="preserve">, </w:t>
      </w:r>
      <w:r w:rsidRPr="009F70A8">
        <w:rPr>
          <w:rFonts w:ascii="Times New Roman" w:hAnsi="Times New Roman"/>
          <w:sz w:val="28"/>
          <w:szCs w:val="28"/>
          <w:lang w:val="en-US"/>
        </w:rPr>
        <w:t>Huawei</w:t>
      </w:r>
      <w:r w:rsidRPr="009034FC">
        <w:rPr>
          <w:rFonts w:ascii="Times New Roman" w:hAnsi="Times New Roman"/>
          <w:sz w:val="28"/>
          <w:szCs w:val="28"/>
        </w:rPr>
        <w:t>.</w:t>
      </w:r>
    </w:p>
    <w:p w:rsidR="00CE1B66" w:rsidRPr="00B1591D" w:rsidRDefault="00CE1B66" w:rsidP="00B1591D">
      <w:pPr>
        <w:rPr>
          <w:rFonts w:ascii="Times New Roman" w:hAnsi="Times New Roman"/>
          <w:b/>
          <w:sz w:val="24"/>
          <w:szCs w:val="24"/>
        </w:rPr>
      </w:pPr>
      <w:r w:rsidRPr="00B1591D">
        <w:rPr>
          <w:rFonts w:ascii="Times New Roman" w:hAnsi="Times New Roman"/>
          <w:b/>
          <w:sz w:val="24"/>
          <w:szCs w:val="24"/>
        </w:rPr>
        <w:t xml:space="preserve">Таблица 2. </w:t>
      </w:r>
      <w:r w:rsidRPr="00B1591D">
        <w:rPr>
          <w:rFonts w:ascii="Times New Roman" w:hAnsi="Times New Roman"/>
          <w:sz w:val="24"/>
          <w:szCs w:val="24"/>
        </w:rPr>
        <w:t>Результаты деятельности ТНК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4"/>
        <w:gridCol w:w="5495"/>
      </w:tblGrid>
      <w:tr w:rsidR="00CE1B66" w:rsidRPr="002B6098" w:rsidTr="002B6098">
        <w:tc>
          <w:tcPr>
            <w:tcW w:w="2500" w:type="pct"/>
          </w:tcPr>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Положительные</w:t>
            </w:r>
          </w:p>
          <w:p w:rsidR="00CE1B66" w:rsidRPr="002B6098" w:rsidRDefault="00CE1B66" w:rsidP="002B6098">
            <w:pPr>
              <w:spacing w:after="0" w:line="240" w:lineRule="auto"/>
              <w:jc w:val="both"/>
              <w:rPr>
                <w:rFonts w:ascii="Times New Roman" w:hAnsi="Times New Roman"/>
                <w:sz w:val="24"/>
                <w:szCs w:val="24"/>
              </w:rPr>
            </w:pPr>
          </w:p>
        </w:tc>
        <w:tc>
          <w:tcPr>
            <w:tcW w:w="2500" w:type="pct"/>
          </w:tcPr>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Негативные</w:t>
            </w:r>
          </w:p>
        </w:tc>
      </w:tr>
      <w:tr w:rsidR="00CE1B66" w:rsidRPr="002B6098" w:rsidTr="002B6098">
        <w:tc>
          <w:tcPr>
            <w:tcW w:w="2500" w:type="pct"/>
          </w:tcPr>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 xml:space="preserve">Снижению </w:t>
            </w:r>
            <w:r w:rsidRPr="002B6098">
              <w:rPr>
                <w:rFonts w:ascii="Times New Roman" w:hAnsi="Times New Roman"/>
                <w:b/>
                <w:sz w:val="24"/>
                <w:szCs w:val="24"/>
              </w:rPr>
              <w:t>безработицы в стране, рост доходов государственного бюджета</w:t>
            </w:r>
            <w:r w:rsidRPr="002B6098">
              <w:rPr>
                <w:rFonts w:ascii="Times New Roman" w:hAnsi="Times New Roman"/>
                <w:sz w:val="24"/>
                <w:szCs w:val="24"/>
              </w:rPr>
              <w:t xml:space="preserve"> (привлечение иностранного капитала) </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 xml:space="preserve">Отпадает необходимость в их импорте(за счет производства тех изделий, которые раньше ввозились. </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Укрепление внешнеторговой позиции страны (выпуск конкурентоспособной продукции).</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b/>
                <w:sz w:val="24"/>
                <w:szCs w:val="24"/>
              </w:rPr>
              <w:t>Качественные преимущества</w:t>
            </w:r>
            <w:r w:rsidRPr="002B6098">
              <w:rPr>
                <w:rFonts w:ascii="Times New Roman" w:hAnsi="Times New Roman"/>
                <w:sz w:val="24"/>
                <w:szCs w:val="24"/>
              </w:rPr>
              <w:t>. Деятельность ТНК вынуждает администрацию местных компаний выделять больше средств на подготовку и переподготовку работников, больше внимания обращать на качество продукции, дизайн и т. д.</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b/>
                <w:sz w:val="24"/>
                <w:szCs w:val="24"/>
              </w:rPr>
              <w:t>Устойчивые экономические связи между разными странами (</w:t>
            </w:r>
            <w:r w:rsidRPr="002B6098">
              <w:rPr>
                <w:rFonts w:ascii="Times New Roman" w:hAnsi="Times New Roman"/>
                <w:sz w:val="24"/>
                <w:szCs w:val="24"/>
              </w:rPr>
              <w:t>содействуют экономической интеграции</w:t>
            </w:r>
            <w:r w:rsidRPr="002B6098">
              <w:rPr>
                <w:rFonts w:ascii="Times New Roman" w:hAnsi="Times New Roman"/>
                <w:b/>
                <w:sz w:val="24"/>
                <w:szCs w:val="24"/>
              </w:rPr>
              <w:t>)</w:t>
            </w:r>
          </w:p>
          <w:p w:rsidR="00CE1B66" w:rsidRPr="002B6098" w:rsidRDefault="00CE1B66" w:rsidP="002B6098">
            <w:pPr>
              <w:spacing w:after="0" w:line="240" w:lineRule="auto"/>
              <w:jc w:val="both"/>
              <w:rPr>
                <w:rFonts w:ascii="Times New Roman" w:hAnsi="Times New Roman"/>
                <w:sz w:val="24"/>
                <w:szCs w:val="24"/>
              </w:rPr>
            </w:pPr>
          </w:p>
        </w:tc>
        <w:tc>
          <w:tcPr>
            <w:tcW w:w="2500" w:type="pct"/>
          </w:tcPr>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 xml:space="preserve"> Возможность навязывания компаниям принимающей страны неперспективных направлений в международной системе разделения труда.</w:t>
            </w:r>
          </w:p>
          <w:p w:rsidR="00CE1B66" w:rsidRPr="002B6098" w:rsidRDefault="00CE1B66" w:rsidP="002B6098">
            <w:pPr>
              <w:spacing w:after="0" w:line="240" w:lineRule="auto"/>
              <w:jc w:val="both"/>
              <w:rPr>
                <w:rFonts w:ascii="Times New Roman" w:hAnsi="Times New Roman"/>
                <w:b/>
                <w:sz w:val="24"/>
                <w:szCs w:val="24"/>
              </w:rPr>
            </w:pPr>
            <w:r w:rsidRPr="002B6098">
              <w:rPr>
                <w:rFonts w:ascii="Times New Roman" w:hAnsi="Times New Roman"/>
                <w:b/>
                <w:sz w:val="24"/>
                <w:szCs w:val="24"/>
              </w:rPr>
              <w:t>опасность превращения принимающей страны в место сброса устаревших и экологически опасных технологий.</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b/>
                <w:sz w:val="24"/>
                <w:szCs w:val="24"/>
              </w:rPr>
              <w:t>захват иностранными фирмами наиболее развитых и перспективных сегментов промышленного производства</w:t>
            </w:r>
            <w:r w:rsidRPr="002B6098">
              <w:rPr>
                <w:rFonts w:ascii="Times New Roman" w:hAnsi="Times New Roman"/>
                <w:sz w:val="24"/>
                <w:szCs w:val="24"/>
              </w:rPr>
              <w:t xml:space="preserve"> и научно-исследовательских структур принимающей страны, оттеснение национального бизнеса.</w:t>
            </w:r>
          </w:p>
          <w:p w:rsidR="00CE1B66" w:rsidRPr="002B6098" w:rsidRDefault="00CE1B66" w:rsidP="002B6098">
            <w:pPr>
              <w:spacing w:after="0" w:line="240" w:lineRule="auto"/>
              <w:jc w:val="both"/>
              <w:rPr>
                <w:rFonts w:ascii="Times New Roman" w:hAnsi="Times New Roman"/>
                <w:b/>
                <w:sz w:val="24"/>
                <w:szCs w:val="24"/>
              </w:rPr>
            </w:pPr>
            <w:r w:rsidRPr="002B6098">
              <w:rPr>
                <w:rFonts w:ascii="Times New Roman" w:hAnsi="Times New Roman"/>
                <w:b/>
                <w:sz w:val="24"/>
                <w:szCs w:val="24"/>
              </w:rPr>
              <w:t>сокращение доходов госбюджета из-за использования ТНК внутренних (трансфертных) цен.</w:t>
            </w:r>
          </w:p>
          <w:p w:rsidR="00CE1B66" w:rsidRPr="002B6098" w:rsidRDefault="00CE1B66" w:rsidP="002B6098">
            <w:pPr>
              <w:spacing w:after="0" w:line="240" w:lineRule="auto"/>
              <w:jc w:val="both"/>
              <w:rPr>
                <w:rFonts w:ascii="Times New Roman" w:hAnsi="Times New Roman"/>
                <w:sz w:val="24"/>
                <w:szCs w:val="24"/>
              </w:rPr>
            </w:pPr>
            <w:r w:rsidRPr="002B6098">
              <w:rPr>
                <w:rFonts w:ascii="Times New Roman" w:hAnsi="Times New Roman"/>
                <w:sz w:val="24"/>
                <w:szCs w:val="24"/>
              </w:rPr>
              <w:t xml:space="preserve">возрастание </w:t>
            </w:r>
            <w:r w:rsidRPr="002B6098">
              <w:rPr>
                <w:rFonts w:ascii="Times New Roman" w:hAnsi="Times New Roman"/>
                <w:b/>
                <w:sz w:val="24"/>
                <w:szCs w:val="24"/>
              </w:rPr>
              <w:t>рисков в развитии инвестиционного и производственного процессов;</w:t>
            </w:r>
          </w:p>
        </w:tc>
      </w:tr>
    </w:tbl>
    <w:p w:rsidR="00CE1B66" w:rsidRPr="0048403D" w:rsidRDefault="00CE1B66" w:rsidP="0048403D">
      <w:pPr>
        <w:spacing w:after="0" w:line="360" w:lineRule="auto"/>
        <w:jc w:val="both"/>
        <w:rPr>
          <w:rFonts w:ascii="Times New Roman" w:hAnsi="Times New Roman"/>
          <w:sz w:val="28"/>
          <w:szCs w:val="28"/>
        </w:rPr>
      </w:pPr>
      <w:r>
        <w:rPr>
          <w:rFonts w:ascii="Times New Roman" w:hAnsi="Times New Roman"/>
          <w:b/>
          <w:sz w:val="28"/>
          <w:szCs w:val="28"/>
        </w:rPr>
        <w:t>Т</w:t>
      </w:r>
      <w:r w:rsidRPr="0048403D">
        <w:rPr>
          <w:rFonts w:ascii="Times New Roman" w:hAnsi="Times New Roman"/>
          <w:b/>
          <w:sz w:val="28"/>
          <w:szCs w:val="28"/>
        </w:rPr>
        <w:t>ранснациональные Банки (ТНБ) -</w:t>
      </w:r>
      <w:r w:rsidRPr="0048403D">
        <w:rPr>
          <w:rFonts w:ascii="Times New Roman" w:hAnsi="Times New Roman"/>
          <w:sz w:val="28"/>
          <w:szCs w:val="28"/>
        </w:rPr>
        <w:t xml:space="preserve"> особая разновидность ТНК</w:t>
      </w:r>
      <w:r>
        <w:rPr>
          <w:rFonts w:ascii="Times New Roman" w:hAnsi="Times New Roman"/>
          <w:sz w:val="28"/>
          <w:szCs w:val="28"/>
        </w:rPr>
        <w:t>,</w:t>
      </w:r>
      <w:r w:rsidRPr="0048403D">
        <w:rPr>
          <w:rFonts w:ascii="Times New Roman" w:hAnsi="Times New Roman"/>
          <w:sz w:val="28"/>
          <w:szCs w:val="28"/>
        </w:rPr>
        <w:t xml:space="preserve"> крупные международные финансовые объединения, принадлежащие, как правило, капиталу одной страны. </w:t>
      </w:r>
    </w:p>
    <w:p w:rsidR="00CE1B66" w:rsidRDefault="00CE1B66" w:rsidP="0048403D">
      <w:pPr>
        <w:shd w:val="clear" w:color="auto" w:fill="FFFFFF"/>
        <w:spacing w:after="0" w:line="360" w:lineRule="auto"/>
        <w:ind w:firstLine="709"/>
        <w:jc w:val="both"/>
        <w:rPr>
          <w:rFonts w:ascii="Times New Roman" w:hAnsi="Times New Roman"/>
          <w:color w:val="000000"/>
          <w:spacing w:val="-4"/>
          <w:w w:val="101"/>
          <w:sz w:val="28"/>
          <w:szCs w:val="28"/>
        </w:rPr>
      </w:pPr>
      <w:r w:rsidRPr="0048403D">
        <w:rPr>
          <w:rFonts w:ascii="Times New Roman" w:hAnsi="Times New Roman"/>
          <w:color w:val="000000"/>
          <w:spacing w:val="-4"/>
          <w:w w:val="101"/>
          <w:sz w:val="28"/>
          <w:szCs w:val="28"/>
        </w:rPr>
        <w:t xml:space="preserve">На  первом  этапе  экономического  развития  </w:t>
      </w:r>
      <w:r w:rsidRPr="0048403D">
        <w:rPr>
          <w:rFonts w:ascii="Times New Roman" w:hAnsi="Times New Roman"/>
          <w:b/>
          <w:color w:val="000000"/>
          <w:spacing w:val="-4"/>
          <w:w w:val="101"/>
          <w:sz w:val="28"/>
          <w:szCs w:val="28"/>
        </w:rPr>
        <w:t>коммерческие банки доминировали.</w:t>
      </w:r>
      <w:r w:rsidRPr="0048403D">
        <w:rPr>
          <w:rFonts w:ascii="Times New Roman" w:hAnsi="Times New Roman"/>
          <w:color w:val="000000"/>
          <w:spacing w:val="-4"/>
          <w:w w:val="101"/>
          <w:sz w:val="28"/>
          <w:szCs w:val="28"/>
        </w:rPr>
        <w:t xml:space="preserve"> </w:t>
      </w:r>
      <w:r w:rsidRPr="00245F77">
        <w:rPr>
          <w:rFonts w:ascii="Times New Roman" w:hAnsi="Times New Roman"/>
          <w:sz w:val="28"/>
          <w:szCs w:val="28"/>
        </w:rPr>
        <w:t>Транснац</w:t>
      </w:r>
      <w:r>
        <w:rPr>
          <w:rFonts w:ascii="Times New Roman" w:hAnsi="Times New Roman"/>
          <w:sz w:val="28"/>
          <w:szCs w:val="28"/>
        </w:rPr>
        <w:t>иональные банки (ТНБ) в</w:t>
      </w:r>
      <w:r w:rsidRPr="00245F77">
        <w:rPr>
          <w:rFonts w:ascii="Times New Roman" w:hAnsi="Times New Roman"/>
          <w:sz w:val="28"/>
          <w:szCs w:val="28"/>
        </w:rPr>
        <w:t xml:space="preserve"> основ</w:t>
      </w:r>
      <w:r w:rsidRPr="00245F77">
        <w:rPr>
          <w:rFonts w:ascii="Times New Roman" w:hAnsi="Times New Roman"/>
          <w:sz w:val="28"/>
          <w:szCs w:val="28"/>
        </w:rPr>
        <w:softHyphen/>
        <w:t>ном</w:t>
      </w:r>
      <w:r>
        <w:rPr>
          <w:rFonts w:ascii="Times New Roman" w:hAnsi="Times New Roman"/>
          <w:sz w:val="28"/>
          <w:szCs w:val="28"/>
        </w:rPr>
        <w:t xml:space="preserve"> и</w:t>
      </w:r>
      <w:r w:rsidRPr="00245F77">
        <w:rPr>
          <w:rFonts w:ascii="Times New Roman" w:hAnsi="Times New Roman"/>
          <w:sz w:val="28"/>
          <w:szCs w:val="28"/>
        </w:rPr>
        <w:t xml:space="preserve"> сформировались на базе крупнейших коммерчес</w:t>
      </w:r>
      <w:r w:rsidRPr="00245F77">
        <w:rPr>
          <w:rFonts w:ascii="Times New Roman" w:hAnsi="Times New Roman"/>
          <w:sz w:val="28"/>
          <w:szCs w:val="28"/>
        </w:rPr>
        <w:softHyphen/>
        <w:t>ких банков промышленно развитых стран</w:t>
      </w:r>
      <w:r>
        <w:rPr>
          <w:rFonts w:ascii="Times New Roman" w:hAnsi="Times New Roman"/>
          <w:sz w:val="28"/>
          <w:szCs w:val="28"/>
        </w:rPr>
        <w:t>.</w:t>
      </w:r>
      <w:r w:rsidRPr="0048403D">
        <w:rPr>
          <w:rFonts w:ascii="Times New Roman" w:hAnsi="Times New Roman"/>
          <w:color w:val="000000"/>
          <w:spacing w:val="-4"/>
          <w:w w:val="101"/>
          <w:sz w:val="28"/>
          <w:szCs w:val="28"/>
        </w:rPr>
        <w:t xml:space="preserve"> На среднем  и высшем  уровнях развития  возросло </w:t>
      </w:r>
      <w:r w:rsidRPr="0048403D">
        <w:rPr>
          <w:rFonts w:ascii="Times New Roman" w:hAnsi="Times New Roman"/>
          <w:b/>
          <w:color w:val="000000"/>
          <w:spacing w:val="-4"/>
          <w:w w:val="101"/>
          <w:sz w:val="28"/>
          <w:szCs w:val="28"/>
        </w:rPr>
        <w:t>значение специализированных посредников и рынков ценных бумаг</w:t>
      </w:r>
      <w:r w:rsidRPr="0048403D">
        <w:rPr>
          <w:rFonts w:ascii="Times New Roman" w:hAnsi="Times New Roman"/>
          <w:color w:val="000000"/>
          <w:spacing w:val="-4"/>
          <w:w w:val="101"/>
          <w:sz w:val="28"/>
          <w:szCs w:val="28"/>
        </w:rPr>
        <w:t xml:space="preserve">. Среди примерно </w:t>
      </w:r>
      <w:r w:rsidRPr="0048403D">
        <w:rPr>
          <w:rFonts w:ascii="Times New Roman" w:hAnsi="Times New Roman"/>
          <w:b/>
          <w:color w:val="000000"/>
          <w:spacing w:val="-4"/>
          <w:w w:val="101"/>
          <w:sz w:val="28"/>
          <w:szCs w:val="28"/>
        </w:rPr>
        <w:t>100 тыс. частных банков около 500 выполняют роль главного  звена</w:t>
      </w:r>
      <w:r w:rsidRPr="0048403D">
        <w:rPr>
          <w:rFonts w:ascii="Times New Roman" w:hAnsi="Times New Roman"/>
          <w:color w:val="000000"/>
          <w:spacing w:val="-4"/>
          <w:w w:val="101"/>
          <w:sz w:val="28"/>
          <w:szCs w:val="28"/>
        </w:rPr>
        <w:t xml:space="preserve"> в системе институтов международного кредита. </w:t>
      </w:r>
    </w:p>
    <w:p w:rsidR="00CE1B66" w:rsidRPr="009034FC" w:rsidRDefault="00CE1B66" w:rsidP="009034FC">
      <w:pPr>
        <w:shd w:val="clear" w:color="auto" w:fill="FFFFFF"/>
        <w:spacing w:after="0" w:line="360" w:lineRule="auto"/>
        <w:jc w:val="both"/>
        <w:rPr>
          <w:rFonts w:ascii="Times New Roman" w:hAnsi="Times New Roman"/>
          <w:color w:val="000000"/>
          <w:spacing w:val="-4"/>
          <w:w w:val="101"/>
          <w:sz w:val="28"/>
          <w:szCs w:val="28"/>
        </w:rPr>
      </w:pPr>
      <w:r>
        <w:rPr>
          <w:rFonts w:ascii="Times New Roman" w:hAnsi="Times New Roman"/>
          <w:color w:val="000000"/>
          <w:spacing w:val="-4"/>
          <w:w w:val="101"/>
          <w:sz w:val="28"/>
          <w:szCs w:val="28"/>
        </w:rPr>
        <w:t>Т</w:t>
      </w:r>
      <w:r w:rsidRPr="0048403D">
        <w:rPr>
          <w:rFonts w:ascii="Times New Roman" w:hAnsi="Times New Roman"/>
          <w:color w:val="000000"/>
          <w:spacing w:val="-4"/>
          <w:w w:val="101"/>
          <w:sz w:val="28"/>
          <w:szCs w:val="28"/>
        </w:rPr>
        <w:t xml:space="preserve">енденция  к  международной  кооперации  банков, </w:t>
      </w:r>
      <w:r>
        <w:rPr>
          <w:rFonts w:ascii="Times New Roman" w:hAnsi="Times New Roman"/>
          <w:color w:val="000000"/>
          <w:spacing w:val="-4"/>
          <w:w w:val="101"/>
          <w:sz w:val="28"/>
          <w:szCs w:val="28"/>
        </w:rPr>
        <w:t>связана с растущими потребностями в банковском обслуживании, что послужило</w:t>
      </w:r>
      <w:r w:rsidRPr="0048403D">
        <w:rPr>
          <w:rFonts w:ascii="Times New Roman" w:hAnsi="Times New Roman"/>
          <w:color w:val="000000"/>
          <w:spacing w:val="-4"/>
          <w:w w:val="101"/>
          <w:sz w:val="28"/>
          <w:szCs w:val="28"/>
        </w:rPr>
        <w:t xml:space="preserve">  созданию  совместных банковских филиалов и бюро. Основной задачей ТНБ,  является </w:t>
      </w:r>
      <w:r w:rsidRPr="0048403D">
        <w:rPr>
          <w:rFonts w:ascii="Times New Roman" w:hAnsi="Times New Roman"/>
          <w:b/>
          <w:color w:val="000000"/>
          <w:spacing w:val="-4"/>
          <w:w w:val="101"/>
          <w:sz w:val="28"/>
          <w:szCs w:val="28"/>
        </w:rPr>
        <w:t>формирование соответствующей инфраструктуры банковского обслуживания</w:t>
      </w:r>
      <w:r w:rsidRPr="0048403D">
        <w:rPr>
          <w:rFonts w:ascii="Times New Roman" w:hAnsi="Times New Roman"/>
          <w:color w:val="000000"/>
          <w:spacing w:val="-4"/>
          <w:w w:val="101"/>
          <w:sz w:val="28"/>
          <w:szCs w:val="28"/>
        </w:rPr>
        <w:t xml:space="preserve">, </w:t>
      </w:r>
      <w:r w:rsidRPr="00E6548D">
        <w:rPr>
          <w:rFonts w:ascii="Times New Roman" w:hAnsi="Times New Roman"/>
          <w:b/>
          <w:color w:val="000000"/>
          <w:spacing w:val="-4"/>
          <w:w w:val="101"/>
          <w:sz w:val="28"/>
          <w:szCs w:val="28"/>
        </w:rPr>
        <w:t xml:space="preserve">обеспечивающей как вытеснение других банков, так и повышение конкурентоспособности ТНБ против других субъектов финансового рынка. </w:t>
      </w:r>
      <w:r w:rsidRPr="0048403D">
        <w:rPr>
          <w:rFonts w:ascii="Times New Roman" w:hAnsi="Times New Roman"/>
          <w:b/>
          <w:color w:val="000000"/>
          <w:spacing w:val="-4"/>
          <w:w w:val="101"/>
          <w:sz w:val="28"/>
          <w:szCs w:val="28"/>
        </w:rPr>
        <w:t>Основная  доля  доходов  ведущих  банков  мира  складывается  по  результатам  биржевых  операций</w:t>
      </w:r>
      <w:r w:rsidRPr="0048403D">
        <w:rPr>
          <w:rFonts w:ascii="Times New Roman" w:hAnsi="Times New Roman"/>
          <w:color w:val="000000"/>
          <w:spacing w:val="-4"/>
          <w:w w:val="101"/>
          <w:sz w:val="28"/>
          <w:szCs w:val="28"/>
        </w:rPr>
        <w:t xml:space="preserve"> на  валютном  сегменте  финансового  рынка. 80%  прибыли  обеспечивается  на  биржевой  игре  (колебания  кросс-курсов доллара, фунта, немецкой марки</w:t>
      </w:r>
      <w:r>
        <w:rPr>
          <w:rFonts w:ascii="Times New Roman" w:hAnsi="Times New Roman"/>
          <w:color w:val="000000"/>
          <w:spacing w:val="-4"/>
          <w:w w:val="101"/>
          <w:sz w:val="28"/>
          <w:szCs w:val="28"/>
        </w:rPr>
        <w:t>).</w:t>
      </w:r>
      <w:r w:rsidRPr="009034FC">
        <w:rPr>
          <w:rFonts w:ascii="Times New Roman" w:hAnsi="Times New Roman"/>
          <w:color w:val="000000"/>
          <w:spacing w:val="-4"/>
          <w:w w:val="101"/>
          <w:sz w:val="28"/>
          <w:szCs w:val="28"/>
        </w:rPr>
        <w:t xml:space="preserve"> </w:t>
      </w:r>
      <w:r w:rsidRPr="00E6548D">
        <w:rPr>
          <w:rFonts w:ascii="Times New Roman" w:hAnsi="Times New Roman"/>
          <w:color w:val="000000"/>
          <w:spacing w:val="-4"/>
          <w:w w:val="101"/>
          <w:sz w:val="28"/>
          <w:szCs w:val="28"/>
        </w:rPr>
        <w:t>Существуют определенные формы установления партнерских отношений в целях создания и укрупнения уже существующих ТНБ (таблица 3).</w:t>
      </w:r>
    </w:p>
    <w:p w:rsidR="00CE1B66" w:rsidRPr="00DB7D0F" w:rsidRDefault="00CE1B66" w:rsidP="009034FC">
      <w:pPr>
        <w:shd w:val="clear" w:color="auto" w:fill="FFFFFF"/>
        <w:spacing w:line="360" w:lineRule="auto"/>
        <w:ind w:firstLine="709"/>
        <w:rPr>
          <w:rFonts w:ascii="Times New Roman" w:hAnsi="Times New Roman"/>
          <w:color w:val="000000"/>
          <w:spacing w:val="-4"/>
          <w:w w:val="101"/>
          <w:sz w:val="24"/>
          <w:szCs w:val="24"/>
        </w:rPr>
      </w:pPr>
      <w:r w:rsidRPr="00DB7D0F">
        <w:rPr>
          <w:rFonts w:ascii="Times New Roman" w:hAnsi="Times New Roman"/>
          <w:b/>
          <w:color w:val="000000"/>
          <w:spacing w:val="-4"/>
          <w:w w:val="101"/>
          <w:sz w:val="24"/>
          <w:szCs w:val="24"/>
        </w:rPr>
        <w:t>Таблица 3.</w:t>
      </w:r>
      <w:r w:rsidRPr="00DB7D0F">
        <w:rPr>
          <w:rFonts w:ascii="Times New Roman" w:hAnsi="Times New Roman"/>
          <w:color w:val="000000"/>
          <w:spacing w:val="-4"/>
          <w:w w:val="101"/>
          <w:sz w:val="24"/>
          <w:szCs w:val="24"/>
        </w:rPr>
        <w:t xml:space="preserve"> Формы взаимодействия ТНБ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835"/>
        <w:gridCol w:w="4077"/>
      </w:tblGrid>
      <w:tr w:rsidR="00CE1B66" w:rsidRPr="002B6098" w:rsidTr="00DB7D0F">
        <w:trPr>
          <w:trHeight w:val="337"/>
        </w:trPr>
        <w:tc>
          <w:tcPr>
            <w:tcW w:w="1855" w:type="pct"/>
          </w:tcPr>
          <w:p w:rsidR="00CE1B66" w:rsidRPr="00DB7D0F" w:rsidRDefault="00CE1B66" w:rsidP="007838D9">
            <w:pPr>
              <w:ind w:firstLine="709"/>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Формы партнерства</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Метод компенсации</w:t>
            </w:r>
          </w:p>
        </w:tc>
        <w:tc>
          <w:tcPr>
            <w:tcW w:w="1855"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Степень межбанковской зависимости</w:t>
            </w:r>
          </w:p>
        </w:tc>
      </w:tr>
      <w:tr w:rsidR="00CE1B66" w:rsidRPr="002B6098" w:rsidTr="00DB7D0F">
        <w:tc>
          <w:tcPr>
            <w:tcW w:w="1855"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Установление корреспондентских отношений</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Разовое вознаграждение за отдельные операции</w:t>
            </w:r>
          </w:p>
        </w:tc>
        <w:tc>
          <w:tcPr>
            <w:tcW w:w="1855" w:type="pct"/>
          </w:tcPr>
          <w:p w:rsidR="00CE1B66" w:rsidRPr="00DB7D0F" w:rsidRDefault="00CE1B66" w:rsidP="007838D9">
            <w:pPr>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Незначительная</w:t>
            </w:r>
          </w:p>
        </w:tc>
      </w:tr>
      <w:tr w:rsidR="00CE1B66" w:rsidRPr="002B6098" w:rsidTr="00DB7D0F">
        <w:tc>
          <w:tcPr>
            <w:tcW w:w="1855"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Открытие счета</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Комиссия согласно тарифу</w:t>
            </w:r>
          </w:p>
        </w:tc>
        <w:tc>
          <w:tcPr>
            <w:tcW w:w="1855" w:type="pct"/>
          </w:tcPr>
          <w:p w:rsidR="00CE1B66" w:rsidRPr="00DB7D0F" w:rsidRDefault="00CE1B66" w:rsidP="007838D9">
            <w:pPr>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Низкая</w:t>
            </w:r>
          </w:p>
        </w:tc>
      </w:tr>
      <w:tr w:rsidR="00CE1B66" w:rsidRPr="002B6098" w:rsidTr="00DB7D0F">
        <w:tc>
          <w:tcPr>
            <w:tcW w:w="1855"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Установление взаимных кредитных линий на проведение разнообразных операций (конверсий, депозитных, с ценными  бумагами)</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В зависимости от вида операции, договорная или согласно тарифу</w:t>
            </w:r>
          </w:p>
        </w:tc>
        <w:tc>
          <w:tcPr>
            <w:tcW w:w="1855" w:type="pct"/>
          </w:tcPr>
          <w:p w:rsidR="00CE1B66" w:rsidRPr="00DB7D0F" w:rsidRDefault="00CE1B66" w:rsidP="007838D9">
            <w:pPr>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Средняя</w:t>
            </w:r>
          </w:p>
        </w:tc>
      </w:tr>
      <w:tr w:rsidR="00CE1B66" w:rsidRPr="002B6098" w:rsidTr="00DB7D0F">
        <w:tc>
          <w:tcPr>
            <w:tcW w:w="1855"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Совместное кредитование (синдицирование)</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Доля платы по кредиту</w:t>
            </w:r>
          </w:p>
        </w:tc>
        <w:tc>
          <w:tcPr>
            <w:tcW w:w="1855" w:type="pct"/>
          </w:tcPr>
          <w:p w:rsidR="00CE1B66" w:rsidRPr="00DB7D0F" w:rsidRDefault="00CE1B66" w:rsidP="007838D9">
            <w:pPr>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Выше средней</w:t>
            </w:r>
          </w:p>
        </w:tc>
      </w:tr>
      <w:tr w:rsidR="00CE1B66" w:rsidRPr="002B6098" w:rsidTr="00DB7D0F">
        <w:tc>
          <w:tcPr>
            <w:tcW w:w="1855" w:type="pct"/>
          </w:tcPr>
          <w:p w:rsidR="00CE1B66" w:rsidRPr="00DB7D0F" w:rsidRDefault="00CE1B66" w:rsidP="00DB7D0F">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Совместное предприятие (</w:t>
            </w:r>
            <w:r>
              <w:rPr>
                <w:rFonts w:ascii="Times New Roman" w:hAnsi="Times New Roman"/>
                <w:color w:val="000000"/>
                <w:spacing w:val="-4"/>
                <w:w w:val="101"/>
                <w:sz w:val="24"/>
                <w:szCs w:val="24"/>
              </w:rPr>
              <w:t>АО</w:t>
            </w:r>
            <w:r w:rsidRPr="00DB7D0F">
              <w:rPr>
                <w:rFonts w:ascii="Times New Roman" w:hAnsi="Times New Roman"/>
                <w:color w:val="000000"/>
                <w:spacing w:val="-4"/>
                <w:w w:val="101"/>
                <w:sz w:val="24"/>
                <w:szCs w:val="24"/>
              </w:rPr>
              <w:t>)</w:t>
            </w:r>
          </w:p>
        </w:tc>
        <w:tc>
          <w:tcPr>
            <w:tcW w:w="1290" w:type="pct"/>
          </w:tcPr>
          <w:p w:rsidR="00CE1B66" w:rsidRPr="00DB7D0F" w:rsidRDefault="00CE1B66" w:rsidP="007838D9">
            <w:pPr>
              <w:jc w:val="both"/>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Доля акций/ дивидентов</w:t>
            </w:r>
          </w:p>
        </w:tc>
        <w:tc>
          <w:tcPr>
            <w:tcW w:w="1855" w:type="pct"/>
          </w:tcPr>
          <w:p w:rsidR="00CE1B66" w:rsidRPr="00DB7D0F" w:rsidRDefault="00CE1B66" w:rsidP="007838D9">
            <w:pPr>
              <w:rPr>
                <w:rFonts w:ascii="Times New Roman" w:hAnsi="Times New Roman"/>
                <w:color w:val="000000"/>
                <w:spacing w:val="-4"/>
                <w:w w:val="101"/>
                <w:sz w:val="24"/>
                <w:szCs w:val="24"/>
              </w:rPr>
            </w:pPr>
            <w:r w:rsidRPr="00DB7D0F">
              <w:rPr>
                <w:rFonts w:ascii="Times New Roman" w:hAnsi="Times New Roman"/>
                <w:color w:val="000000"/>
                <w:spacing w:val="-4"/>
                <w:w w:val="101"/>
                <w:sz w:val="24"/>
                <w:szCs w:val="24"/>
              </w:rPr>
              <w:t xml:space="preserve">Высокая </w:t>
            </w:r>
          </w:p>
        </w:tc>
      </w:tr>
    </w:tbl>
    <w:p w:rsidR="00CE1B66" w:rsidRDefault="00CE1B66" w:rsidP="009034FC">
      <w:pPr>
        <w:shd w:val="clear" w:color="auto" w:fill="FFFFFF"/>
        <w:spacing w:line="360" w:lineRule="auto"/>
        <w:ind w:firstLine="709"/>
        <w:jc w:val="both"/>
        <w:rPr>
          <w:rFonts w:ascii="Times New Roman" w:hAnsi="Times New Roman"/>
          <w:color w:val="000000"/>
          <w:spacing w:val="-4"/>
          <w:w w:val="101"/>
          <w:sz w:val="28"/>
          <w:szCs w:val="28"/>
        </w:rPr>
      </w:pPr>
      <w:r>
        <w:rPr>
          <w:rFonts w:ascii="Times New Roman" w:hAnsi="Times New Roman"/>
          <w:color w:val="000000"/>
          <w:spacing w:val="-4"/>
          <w:w w:val="101"/>
          <w:sz w:val="28"/>
          <w:szCs w:val="28"/>
        </w:rPr>
        <w:t xml:space="preserve">Основным инструментом </w:t>
      </w:r>
      <w:r w:rsidRPr="0048403D">
        <w:rPr>
          <w:rFonts w:ascii="Times New Roman" w:hAnsi="Times New Roman"/>
          <w:color w:val="000000"/>
          <w:spacing w:val="-4"/>
          <w:w w:val="101"/>
          <w:sz w:val="28"/>
          <w:szCs w:val="28"/>
        </w:rPr>
        <w:t xml:space="preserve"> вовлечения в сферу своего влияния новых регионов</w:t>
      </w:r>
      <w:r>
        <w:rPr>
          <w:rFonts w:ascii="Times New Roman" w:hAnsi="Times New Roman"/>
          <w:color w:val="000000"/>
          <w:spacing w:val="-4"/>
          <w:w w:val="101"/>
          <w:sz w:val="28"/>
          <w:szCs w:val="28"/>
        </w:rPr>
        <w:t xml:space="preserve"> является м</w:t>
      </w:r>
      <w:r w:rsidRPr="00E6548D">
        <w:rPr>
          <w:rFonts w:ascii="Times New Roman" w:hAnsi="Times New Roman"/>
          <w:b/>
          <w:color w:val="000000"/>
          <w:spacing w:val="-4"/>
          <w:w w:val="101"/>
          <w:sz w:val="28"/>
          <w:szCs w:val="28"/>
        </w:rPr>
        <w:t>еханизм синдицированного кредитования</w:t>
      </w:r>
      <w:r w:rsidRPr="0048403D">
        <w:rPr>
          <w:rFonts w:ascii="Times New Roman" w:hAnsi="Times New Roman"/>
          <w:color w:val="000000"/>
          <w:spacing w:val="-4"/>
          <w:w w:val="101"/>
          <w:sz w:val="28"/>
          <w:szCs w:val="28"/>
        </w:rPr>
        <w:t>. В практике российских банков, использовавших синдицированные кредиты ТНБ, характерным для периода 1995-1998 гг. была их необеспеченность, краткосрочность (до 6 месяцев максимально) и неопределенность целей. Опасность такого рода кредитов : они не нацелены на устойчивое экономическое развитие страны, направлены исключительно на получение сверхприбылей. В России такое синдицированное кредитование, сопровождающееся слабостью государственного регулирования, привело к внутрен</w:t>
      </w:r>
      <w:r>
        <w:rPr>
          <w:rFonts w:ascii="Times New Roman" w:hAnsi="Times New Roman"/>
          <w:color w:val="000000"/>
          <w:spacing w:val="-4"/>
          <w:w w:val="101"/>
          <w:sz w:val="28"/>
          <w:szCs w:val="28"/>
        </w:rPr>
        <w:t>нему и внешнему дефолту. У</w:t>
      </w:r>
      <w:r w:rsidRPr="0048403D">
        <w:rPr>
          <w:rFonts w:ascii="Times New Roman" w:hAnsi="Times New Roman"/>
          <w:color w:val="000000"/>
          <w:spacing w:val="-4"/>
          <w:w w:val="101"/>
          <w:sz w:val="28"/>
          <w:szCs w:val="28"/>
        </w:rPr>
        <w:t>же к 2000 г. в стране ТНБ возобновили практику синдицированного кредита</w:t>
      </w:r>
      <w:r>
        <w:rPr>
          <w:rFonts w:ascii="Times New Roman" w:hAnsi="Times New Roman"/>
          <w:color w:val="000000"/>
          <w:spacing w:val="-4"/>
          <w:w w:val="101"/>
          <w:sz w:val="28"/>
          <w:szCs w:val="28"/>
        </w:rPr>
        <w:t>.</w:t>
      </w:r>
      <w:r w:rsidRPr="0048403D">
        <w:rPr>
          <w:rFonts w:ascii="Times New Roman" w:hAnsi="Times New Roman"/>
          <w:color w:val="000000"/>
          <w:spacing w:val="-4"/>
          <w:w w:val="101"/>
          <w:sz w:val="28"/>
          <w:szCs w:val="28"/>
        </w:rPr>
        <w:t xml:space="preserve"> </w:t>
      </w:r>
    </w:p>
    <w:p w:rsidR="00CE1B66" w:rsidRPr="00DB7D0F" w:rsidRDefault="00CE1B66" w:rsidP="00DB7D0F">
      <w:pPr>
        <w:spacing w:line="360" w:lineRule="auto"/>
        <w:ind w:firstLine="709"/>
        <w:jc w:val="both"/>
        <w:rPr>
          <w:rFonts w:ascii="Times New Roman" w:hAnsi="Times New Roman"/>
          <w:sz w:val="28"/>
          <w:szCs w:val="28"/>
        </w:rPr>
      </w:pPr>
      <w:r w:rsidRPr="00245F77">
        <w:rPr>
          <w:rFonts w:ascii="Times New Roman" w:hAnsi="Times New Roman"/>
          <w:sz w:val="28"/>
          <w:szCs w:val="28"/>
        </w:rPr>
        <w:t>Совокупные валютные резервы ТНБ в не</w:t>
      </w:r>
      <w:r w:rsidRPr="00245F77">
        <w:rPr>
          <w:rFonts w:ascii="Times New Roman" w:hAnsi="Times New Roman"/>
          <w:sz w:val="28"/>
          <w:szCs w:val="28"/>
        </w:rPr>
        <w:softHyphen/>
        <w:t>сколько раз больше, чем резервы всех центральных банков мира, вместе взятых. Перемещение 1-2% мас</w:t>
      </w:r>
      <w:r w:rsidRPr="00245F77">
        <w:rPr>
          <w:rFonts w:ascii="Times New Roman" w:hAnsi="Times New Roman"/>
          <w:sz w:val="28"/>
          <w:szCs w:val="28"/>
        </w:rPr>
        <w:softHyphen/>
        <w:t>сы денег, находящихся в частном секторе, вполне спо</w:t>
      </w:r>
      <w:r w:rsidRPr="00245F77">
        <w:rPr>
          <w:rFonts w:ascii="Times New Roman" w:hAnsi="Times New Roman"/>
          <w:sz w:val="28"/>
          <w:szCs w:val="28"/>
        </w:rPr>
        <w:softHyphen/>
        <w:t>собны изменить взаимный паритет любых двух наци</w:t>
      </w:r>
      <w:r w:rsidRPr="00245F77">
        <w:rPr>
          <w:rFonts w:ascii="Times New Roman" w:hAnsi="Times New Roman"/>
          <w:sz w:val="28"/>
          <w:szCs w:val="28"/>
        </w:rPr>
        <w:softHyphen/>
        <w:t>ональных валют. Крупнейшие ТНБ мира по размеру активов по национальному признаку распределяются анало</w:t>
      </w:r>
      <w:r>
        <w:rPr>
          <w:rFonts w:ascii="Times New Roman" w:hAnsi="Times New Roman"/>
          <w:sz w:val="28"/>
          <w:szCs w:val="28"/>
        </w:rPr>
        <w:t>г</w:t>
      </w:r>
      <w:r w:rsidRPr="00245F77">
        <w:rPr>
          <w:rFonts w:ascii="Times New Roman" w:hAnsi="Times New Roman"/>
          <w:sz w:val="28"/>
          <w:szCs w:val="28"/>
        </w:rPr>
        <w:t xml:space="preserve">ично крупнейшим мировым ТНК – США, Западная Европа и Япония. </w:t>
      </w:r>
      <w:r>
        <w:rPr>
          <w:rFonts w:ascii="Times New Roman" w:hAnsi="Times New Roman"/>
          <w:sz w:val="28"/>
          <w:szCs w:val="28"/>
        </w:rPr>
        <w:t xml:space="preserve"> </w:t>
      </w:r>
      <w:r w:rsidRPr="00245F77">
        <w:rPr>
          <w:rFonts w:ascii="Times New Roman" w:hAnsi="Times New Roman"/>
          <w:sz w:val="28"/>
          <w:szCs w:val="28"/>
        </w:rPr>
        <w:t>Инвестиционные банки, которые сегодня можно назвать транснациональными, в основном являются американскими. Это</w:t>
      </w:r>
      <w:r w:rsidRPr="00245F77">
        <w:rPr>
          <w:rFonts w:ascii="Times New Roman" w:hAnsi="Times New Roman"/>
          <w:sz w:val="28"/>
          <w:szCs w:val="28"/>
          <w:lang w:val="en-US"/>
        </w:rPr>
        <w:t xml:space="preserve"> Citigroup/SSB, J.P. Morgan Chase, Morgan Stanly Dean Witter, Goldman Sacsh, Lehman Brothers, Merrill Lynch, Solomon Brothers, Alex Brown </w:t>
      </w:r>
      <w:r w:rsidRPr="00245F77">
        <w:rPr>
          <w:rFonts w:ascii="Times New Roman" w:hAnsi="Times New Roman"/>
          <w:sz w:val="28"/>
          <w:szCs w:val="28"/>
        </w:rPr>
        <w:t>и</w:t>
      </w:r>
      <w:r w:rsidRPr="00245F77">
        <w:rPr>
          <w:rFonts w:ascii="Times New Roman" w:hAnsi="Times New Roman"/>
          <w:sz w:val="28"/>
          <w:szCs w:val="28"/>
          <w:lang w:val="en-US"/>
        </w:rPr>
        <w:t xml:space="preserve"> </w:t>
      </w:r>
      <w:r w:rsidRPr="00245F77">
        <w:rPr>
          <w:rFonts w:ascii="Times New Roman" w:hAnsi="Times New Roman"/>
          <w:sz w:val="28"/>
          <w:szCs w:val="28"/>
        </w:rPr>
        <w:t>т</w:t>
      </w:r>
      <w:r w:rsidRPr="00245F77">
        <w:rPr>
          <w:rFonts w:ascii="Times New Roman" w:hAnsi="Times New Roman"/>
          <w:sz w:val="28"/>
          <w:szCs w:val="28"/>
          <w:lang w:val="en-US"/>
        </w:rPr>
        <w:t>.</w:t>
      </w:r>
      <w:r w:rsidRPr="00245F77">
        <w:rPr>
          <w:rFonts w:ascii="Times New Roman" w:hAnsi="Times New Roman"/>
          <w:sz w:val="28"/>
          <w:szCs w:val="28"/>
        </w:rPr>
        <w:t>д</w:t>
      </w:r>
      <w:r w:rsidRPr="00245F77">
        <w:rPr>
          <w:rFonts w:ascii="Times New Roman" w:hAnsi="Times New Roman"/>
          <w:sz w:val="28"/>
          <w:szCs w:val="28"/>
          <w:lang w:val="en-US"/>
        </w:rPr>
        <w:t xml:space="preserve">. </w:t>
      </w:r>
      <w:r w:rsidRPr="00245F77">
        <w:rPr>
          <w:rFonts w:ascii="Times New Roman" w:hAnsi="Times New Roman"/>
          <w:sz w:val="28"/>
          <w:szCs w:val="28"/>
        </w:rPr>
        <w:t>Конкуренцию</w:t>
      </w:r>
      <w:r w:rsidRPr="00245F77">
        <w:rPr>
          <w:rFonts w:ascii="Times New Roman" w:hAnsi="Times New Roman"/>
          <w:sz w:val="28"/>
          <w:szCs w:val="28"/>
          <w:lang w:val="en-US"/>
        </w:rPr>
        <w:t xml:space="preserve"> </w:t>
      </w:r>
      <w:r w:rsidRPr="00245F77">
        <w:rPr>
          <w:rFonts w:ascii="Times New Roman" w:hAnsi="Times New Roman"/>
          <w:sz w:val="28"/>
          <w:szCs w:val="28"/>
        </w:rPr>
        <w:t>американском</w:t>
      </w:r>
      <w:r w:rsidRPr="00245F77">
        <w:rPr>
          <w:rFonts w:ascii="Times New Roman" w:hAnsi="Times New Roman"/>
          <w:sz w:val="28"/>
          <w:szCs w:val="28"/>
          <w:lang w:val="en-US"/>
        </w:rPr>
        <w:t xml:space="preserve"> </w:t>
      </w:r>
      <w:r w:rsidRPr="00245F77">
        <w:rPr>
          <w:rFonts w:ascii="Times New Roman" w:hAnsi="Times New Roman"/>
          <w:sz w:val="28"/>
          <w:szCs w:val="28"/>
        </w:rPr>
        <w:t>ТНБ</w:t>
      </w:r>
      <w:r w:rsidRPr="00245F77">
        <w:rPr>
          <w:rFonts w:ascii="Times New Roman" w:hAnsi="Times New Roman"/>
          <w:sz w:val="28"/>
          <w:szCs w:val="28"/>
          <w:lang w:val="en-US"/>
        </w:rPr>
        <w:t xml:space="preserve"> </w:t>
      </w:r>
      <w:r w:rsidRPr="00245F77">
        <w:rPr>
          <w:rFonts w:ascii="Times New Roman" w:hAnsi="Times New Roman"/>
          <w:sz w:val="28"/>
          <w:szCs w:val="28"/>
        </w:rPr>
        <w:t>составляют</w:t>
      </w:r>
      <w:r w:rsidRPr="00245F77">
        <w:rPr>
          <w:rFonts w:ascii="Times New Roman" w:hAnsi="Times New Roman"/>
          <w:sz w:val="28"/>
          <w:szCs w:val="28"/>
          <w:lang w:val="en-US"/>
        </w:rPr>
        <w:t xml:space="preserve"> </w:t>
      </w:r>
      <w:r w:rsidRPr="00245F77">
        <w:rPr>
          <w:rFonts w:ascii="Times New Roman" w:hAnsi="Times New Roman"/>
          <w:sz w:val="28"/>
          <w:szCs w:val="28"/>
        </w:rPr>
        <w:t>швейцарские</w:t>
      </w:r>
      <w:r w:rsidRPr="00245F77">
        <w:rPr>
          <w:rFonts w:ascii="Times New Roman" w:hAnsi="Times New Roman"/>
          <w:sz w:val="28"/>
          <w:szCs w:val="28"/>
          <w:lang w:val="en-US"/>
        </w:rPr>
        <w:t xml:space="preserve"> Union Bank of Switzerland (UBS), Credit Swiss First Boston, Deutsche Morgan Grenfell.</w:t>
      </w:r>
      <w:r w:rsidRPr="00DB7D0F">
        <w:rPr>
          <w:rFonts w:ascii="Times New Roman" w:hAnsi="Times New Roman"/>
          <w:sz w:val="28"/>
          <w:szCs w:val="28"/>
          <w:lang w:val="en-US"/>
        </w:rPr>
        <w:t xml:space="preserve"> </w:t>
      </w:r>
      <w:r w:rsidRPr="00245F77">
        <w:rPr>
          <w:rFonts w:ascii="Times New Roman" w:hAnsi="Times New Roman"/>
          <w:sz w:val="28"/>
          <w:szCs w:val="28"/>
        </w:rPr>
        <w:t>Значение деятаельности транснациональных банков особенно велико на экономику малых развитых стран, некоторых развивающихся и постсоциалистических государств. Так, иностранным банкам принадлежало 67% банковских активов Польши, 91% - Венгрии, 93% - Чехии, 98% - Эстонии</w:t>
      </w:r>
      <w:r>
        <w:rPr>
          <w:rFonts w:ascii="Times New Roman" w:hAnsi="Times New Roman"/>
          <w:sz w:val="28"/>
          <w:szCs w:val="28"/>
        </w:rPr>
        <w:t>.</w:t>
      </w:r>
    </w:p>
    <w:p w:rsidR="00CE1B66" w:rsidRDefault="00CE1B66" w:rsidP="00DB7D0F">
      <w:pPr>
        <w:spacing w:after="0" w:line="360" w:lineRule="auto"/>
        <w:jc w:val="both"/>
        <w:rPr>
          <w:rFonts w:ascii="Times New Roman" w:hAnsi="Times New Roman"/>
          <w:sz w:val="24"/>
          <w:szCs w:val="24"/>
        </w:rPr>
      </w:pPr>
      <w:r>
        <w:rPr>
          <w:rFonts w:ascii="Times New Roman" w:hAnsi="Times New Roman"/>
          <w:color w:val="000000"/>
          <w:spacing w:val="-4"/>
          <w:w w:val="101"/>
          <w:sz w:val="28"/>
          <w:szCs w:val="28"/>
        </w:rPr>
        <w:t>Таким образом,</w:t>
      </w:r>
      <w:r w:rsidRPr="00B1591D">
        <w:rPr>
          <w:rFonts w:ascii="Times New Roman" w:hAnsi="Times New Roman"/>
          <w:color w:val="000000"/>
          <w:spacing w:val="-4"/>
          <w:w w:val="101"/>
          <w:sz w:val="28"/>
          <w:szCs w:val="28"/>
        </w:rPr>
        <w:t xml:space="preserve"> ТНК и ТНБ, преследуя цели большей частью корпоративного характера, создают условия для преимуществ: распределение затрат и рисков; рост объема операций; получение доступа к зарубежным рынкам; укрепление собственных конкурентных позиций. Однако государству следует учитывать диспропорциональность территориального развития регионов и стран, направить усилия на формирования условий для выполнения социальных функций бизнесом, как на национальном, так и на мировом уровне. </w:t>
      </w:r>
      <w:r w:rsidRPr="00B1591D">
        <w:rPr>
          <w:rFonts w:ascii="Times New Roman" w:hAnsi="Times New Roman"/>
          <w:b/>
          <w:color w:val="000000"/>
          <w:spacing w:val="-4"/>
          <w:w w:val="101"/>
          <w:sz w:val="28"/>
          <w:szCs w:val="28"/>
        </w:rPr>
        <w:t>Литература:</w:t>
      </w:r>
      <w:r w:rsidRPr="00B1591D">
        <w:rPr>
          <w:rFonts w:ascii="Times New Roman" w:hAnsi="Times New Roman"/>
          <w:color w:val="000000"/>
          <w:spacing w:val="-4"/>
          <w:w w:val="101"/>
          <w:sz w:val="28"/>
          <w:szCs w:val="28"/>
        </w:rPr>
        <w:t xml:space="preserve"> </w:t>
      </w:r>
      <w:r w:rsidRPr="00DB7D0F">
        <w:rPr>
          <w:rFonts w:ascii="Times New Roman" w:hAnsi="Times New Roman"/>
          <w:sz w:val="24"/>
          <w:szCs w:val="24"/>
        </w:rPr>
        <w:t>Владимирова И.Г. Исследование уровня транснационализации компаний. // Менеджмент в России и за рубежом. 2008</w:t>
      </w:r>
      <w:r>
        <w:rPr>
          <w:rFonts w:ascii="Times New Roman" w:hAnsi="Times New Roman"/>
          <w:sz w:val="24"/>
          <w:szCs w:val="24"/>
        </w:rPr>
        <w:t xml:space="preserve">, № 6; </w:t>
      </w:r>
    </w:p>
    <w:p w:rsidR="00CE1B66" w:rsidRPr="00245F77" w:rsidRDefault="00CE1B66" w:rsidP="00DB7D0F">
      <w:pPr>
        <w:spacing w:after="0" w:line="360" w:lineRule="auto"/>
        <w:jc w:val="both"/>
        <w:rPr>
          <w:rFonts w:ascii="Times New Roman" w:hAnsi="Times New Roman"/>
          <w:sz w:val="24"/>
          <w:szCs w:val="24"/>
        </w:rPr>
      </w:pPr>
      <w:r w:rsidRPr="00DB7D0F">
        <w:rPr>
          <w:rFonts w:ascii="Times New Roman" w:hAnsi="Times New Roman"/>
          <w:sz w:val="24"/>
          <w:szCs w:val="24"/>
        </w:rPr>
        <w:t>Ломакин В. К., Миров</w:t>
      </w:r>
      <w:r>
        <w:rPr>
          <w:rFonts w:ascii="Times New Roman" w:hAnsi="Times New Roman"/>
          <w:sz w:val="24"/>
          <w:szCs w:val="24"/>
        </w:rPr>
        <w:t>ая экономика, М., «Юнити», 2006</w:t>
      </w:r>
      <w:r>
        <w:rPr>
          <w:rFonts w:ascii="Times New Roman" w:hAnsi="Times New Roman"/>
          <w:sz w:val="24"/>
          <w:szCs w:val="24"/>
          <w:lang w:val="en-US"/>
        </w:rPr>
        <w:t xml:space="preserve"> </w:t>
      </w:r>
      <w:r w:rsidRPr="00DB7D0F">
        <w:rPr>
          <w:rFonts w:ascii="Times New Roman" w:hAnsi="Times New Roman"/>
          <w:sz w:val="24"/>
          <w:szCs w:val="24"/>
        </w:rPr>
        <w:t>-</w:t>
      </w:r>
      <w:r>
        <w:rPr>
          <w:rFonts w:ascii="Times New Roman" w:hAnsi="Times New Roman"/>
          <w:sz w:val="24"/>
          <w:szCs w:val="24"/>
          <w:lang w:val="en-US"/>
        </w:rPr>
        <w:t>250c.-C</w:t>
      </w:r>
      <w:r w:rsidRPr="00DB7D0F">
        <w:rPr>
          <w:rFonts w:ascii="Times New Roman" w:hAnsi="Times New Roman"/>
          <w:sz w:val="24"/>
          <w:szCs w:val="24"/>
        </w:rPr>
        <w:t>.124, 135</w:t>
      </w:r>
      <w:bookmarkStart w:id="0" w:name="_GoBack"/>
      <w:bookmarkEnd w:id="0"/>
    </w:p>
    <w:sectPr w:rsidR="00CE1B66" w:rsidRPr="00245F77" w:rsidSect="00131C4E">
      <w:pgSz w:w="11906" w:h="16838"/>
      <w:pgMar w:top="426" w:right="566"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66" w:rsidRDefault="00CE1B66" w:rsidP="00C5469C">
      <w:pPr>
        <w:spacing w:after="0" w:line="240" w:lineRule="auto"/>
      </w:pPr>
      <w:r>
        <w:separator/>
      </w:r>
    </w:p>
  </w:endnote>
  <w:endnote w:type="continuationSeparator" w:id="0">
    <w:p w:rsidR="00CE1B66" w:rsidRDefault="00CE1B66" w:rsidP="00C5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66" w:rsidRDefault="00CE1B66" w:rsidP="00C5469C">
      <w:pPr>
        <w:spacing w:after="0" w:line="240" w:lineRule="auto"/>
      </w:pPr>
      <w:r>
        <w:separator/>
      </w:r>
    </w:p>
  </w:footnote>
  <w:footnote w:type="continuationSeparator" w:id="0">
    <w:p w:rsidR="00CE1B66" w:rsidRDefault="00CE1B66" w:rsidP="00C54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E6242"/>
    <w:multiLevelType w:val="hybridMultilevel"/>
    <w:tmpl w:val="52F295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8C41715"/>
    <w:multiLevelType w:val="hybridMultilevel"/>
    <w:tmpl w:val="AEBAC32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2A01"/>
    <w:rsid w:val="000900EC"/>
    <w:rsid w:val="000B19CA"/>
    <w:rsid w:val="000F7F4A"/>
    <w:rsid w:val="00131C4E"/>
    <w:rsid w:val="00145DC1"/>
    <w:rsid w:val="002444A7"/>
    <w:rsid w:val="00245F77"/>
    <w:rsid w:val="0028536A"/>
    <w:rsid w:val="002B6098"/>
    <w:rsid w:val="002E1441"/>
    <w:rsid w:val="003266F1"/>
    <w:rsid w:val="0036532F"/>
    <w:rsid w:val="00390EC6"/>
    <w:rsid w:val="00392EC8"/>
    <w:rsid w:val="00396D46"/>
    <w:rsid w:val="003F1861"/>
    <w:rsid w:val="00411BE6"/>
    <w:rsid w:val="00433E2B"/>
    <w:rsid w:val="004763E4"/>
    <w:rsid w:val="0048403D"/>
    <w:rsid w:val="00484E62"/>
    <w:rsid w:val="004A287A"/>
    <w:rsid w:val="00515356"/>
    <w:rsid w:val="0058368E"/>
    <w:rsid w:val="00591374"/>
    <w:rsid w:val="005A2A01"/>
    <w:rsid w:val="005B4D2D"/>
    <w:rsid w:val="005F5086"/>
    <w:rsid w:val="005F6686"/>
    <w:rsid w:val="006854A9"/>
    <w:rsid w:val="006B2948"/>
    <w:rsid w:val="006B507D"/>
    <w:rsid w:val="007838D9"/>
    <w:rsid w:val="007C220E"/>
    <w:rsid w:val="007D1419"/>
    <w:rsid w:val="008228A0"/>
    <w:rsid w:val="008C55AF"/>
    <w:rsid w:val="008F429A"/>
    <w:rsid w:val="008F70C9"/>
    <w:rsid w:val="009034FC"/>
    <w:rsid w:val="0090638F"/>
    <w:rsid w:val="009334EB"/>
    <w:rsid w:val="009811A0"/>
    <w:rsid w:val="009909CF"/>
    <w:rsid w:val="009A548D"/>
    <w:rsid w:val="009D59B8"/>
    <w:rsid w:val="009F70A8"/>
    <w:rsid w:val="00B15145"/>
    <w:rsid w:val="00B1591D"/>
    <w:rsid w:val="00B466C0"/>
    <w:rsid w:val="00B67E1F"/>
    <w:rsid w:val="00B87862"/>
    <w:rsid w:val="00BA560A"/>
    <w:rsid w:val="00BD34A9"/>
    <w:rsid w:val="00BD3B16"/>
    <w:rsid w:val="00C5469C"/>
    <w:rsid w:val="00CB5EEB"/>
    <w:rsid w:val="00CB773D"/>
    <w:rsid w:val="00CE1B66"/>
    <w:rsid w:val="00D04EBC"/>
    <w:rsid w:val="00D32ABD"/>
    <w:rsid w:val="00D94764"/>
    <w:rsid w:val="00DB7D0F"/>
    <w:rsid w:val="00E4612B"/>
    <w:rsid w:val="00E52807"/>
    <w:rsid w:val="00E6548D"/>
    <w:rsid w:val="00EE249E"/>
    <w:rsid w:val="00F506F1"/>
    <w:rsid w:val="00F748A0"/>
    <w:rsid w:val="00F963A5"/>
    <w:rsid w:val="00FB479E"/>
    <w:rsid w:val="00FF33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7DFF60-F49E-4446-ABED-97605F5D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74"/>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92EC8"/>
    <w:pPr>
      <w:ind w:left="720"/>
      <w:contextualSpacing/>
    </w:pPr>
  </w:style>
  <w:style w:type="paragraph" w:styleId="a3">
    <w:name w:val="Balloon Text"/>
    <w:basedOn w:val="a"/>
    <w:link w:val="a4"/>
    <w:semiHidden/>
    <w:rsid w:val="00392EC8"/>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392EC8"/>
    <w:rPr>
      <w:rFonts w:ascii="Tahoma" w:hAnsi="Tahoma" w:cs="Tahoma"/>
      <w:sz w:val="16"/>
      <w:szCs w:val="16"/>
    </w:rPr>
  </w:style>
  <w:style w:type="table" w:styleId="a5">
    <w:name w:val="Table Grid"/>
    <w:basedOn w:val="a1"/>
    <w:rsid w:val="003F1861"/>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footnote reference"/>
    <w:basedOn w:val="a0"/>
    <w:rsid w:val="00C5469C"/>
    <w:rPr>
      <w:rFonts w:cs="Times New Roman"/>
      <w:sz w:val="20"/>
      <w:szCs w:val="20"/>
      <w:vertAlign w:val="superscript"/>
    </w:rPr>
  </w:style>
  <w:style w:type="character" w:styleId="a7">
    <w:name w:val="annotation reference"/>
    <w:basedOn w:val="a0"/>
    <w:rsid w:val="00C5469C"/>
    <w:rPr>
      <w:rFonts w:cs="Times New Roman"/>
      <w:sz w:val="16"/>
      <w:szCs w:val="16"/>
    </w:rPr>
  </w:style>
  <w:style w:type="paragraph" w:styleId="a8">
    <w:name w:val="footnote text"/>
    <w:basedOn w:val="a"/>
    <w:link w:val="a9"/>
    <w:rsid w:val="00C5469C"/>
    <w:pPr>
      <w:widowControl w:val="0"/>
      <w:overflowPunct w:val="0"/>
      <w:autoSpaceDE w:val="0"/>
      <w:autoSpaceDN w:val="0"/>
      <w:adjustRightInd w:val="0"/>
      <w:spacing w:after="0" w:line="240" w:lineRule="auto"/>
      <w:textAlignment w:val="baseline"/>
    </w:pPr>
    <w:rPr>
      <w:rFonts w:ascii="Times New Roman" w:eastAsia="Calibri" w:hAnsi="Times New Roman"/>
      <w:sz w:val="20"/>
      <w:szCs w:val="20"/>
      <w:lang w:val="en-US" w:eastAsia="ru-RU"/>
    </w:rPr>
  </w:style>
  <w:style w:type="character" w:customStyle="1" w:styleId="a9">
    <w:name w:val="Текст сноски Знак"/>
    <w:basedOn w:val="a0"/>
    <w:link w:val="a8"/>
    <w:locked/>
    <w:rsid w:val="00C5469C"/>
    <w:rPr>
      <w:rFonts w:ascii="Times New Roman" w:hAnsi="Times New Roman" w:cs="Times New Roman"/>
      <w:sz w:val="20"/>
      <w:szCs w:val="20"/>
      <w:lang w:val="en-US" w:eastAsia="ru-RU"/>
    </w:rPr>
  </w:style>
  <w:style w:type="paragraph" w:styleId="aa">
    <w:name w:val="annotation text"/>
    <w:basedOn w:val="a"/>
    <w:link w:val="ab"/>
    <w:rsid w:val="00C5469C"/>
    <w:pPr>
      <w:overflowPunct w:val="0"/>
      <w:autoSpaceDE w:val="0"/>
      <w:autoSpaceDN w:val="0"/>
      <w:adjustRightInd w:val="0"/>
      <w:spacing w:after="0" w:line="240" w:lineRule="auto"/>
      <w:textAlignment w:val="baseline"/>
    </w:pPr>
    <w:rPr>
      <w:rFonts w:ascii="Times New Roman" w:eastAsia="Calibri" w:hAnsi="Times New Roman"/>
      <w:spacing w:val="-4"/>
      <w:sz w:val="20"/>
      <w:szCs w:val="20"/>
      <w:lang w:eastAsia="ru-RU"/>
    </w:rPr>
  </w:style>
  <w:style w:type="character" w:customStyle="1" w:styleId="ab">
    <w:name w:val="Текст примечания Знак"/>
    <w:basedOn w:val="a0"/>
    <w:link w:val="aa"/>
    <w:locked/>
    <w:rsid w:val="00C5469C"/>
    <w:rPr>
      <w:rFonts w:ascii="Times New Roman" w:hAnsi="Times New Roman" w:cs="Times New Roman"/>
      <w:spacing w:val="-4"/>
      <w:sz w:val="20"/>
      <w:szCs w:val="20"/>
      <w:lang w:val="x-none" w:eastAsia="ru-RU"/>
    </w:rPr>
  </w:style>
  <w:style w:type="paragraph" w:styleId="ac">
    <w:name w:val="header"/>
    <w:basedOn w:val="a"/>
    <w:link w:val="ad"/>
    <w:semiHidden/>
    <w:rsid w:val="00C5469C"/>
    <w:pPr>
      <w:tabs>
        <w:tab w:val="center" w:pos="4677"/>
        <w:tab w:val="right" w:pos="9355"/>
      </w:tabs>
      <w:spacing w:after="0" w:line="240" w:lineRule="auto"/>
    </w:pPr>
  </w:style>
  <w:style w:type="character" w:customStyle="1" w:styleId="ad">
    <w:name w:val="Верхний колонтитул Знак"/>
    <w:basedOn w:val="a0"/>
    <w:link w:val="ac"/>
    <w:semiHidden/>
    <w:locked/>
    <w:rsid w:val="00C5469C"/>
    <w:rPr>
      <w:rFonts w:cs="Times New Roman"/>
    </w:rPr>
  </w:style>
  <w:style w:type="paragraph" w:styleId="ae">
    <w:name w:val="footer"/>
    <w:basedOn w:val="a"/>
    <w:link w:val="af"/>
    <w:semiHidden/>
    <w:rsid w:val="00C5469C"/>
    <w:pPr>
      <w:tabs>
        <w:tab w:val="center" w:pos="4677"/>
        <w:tab w:val="right" w:pos="9355"/>
      </w:tabs>
      <w:spacing w:after="0" w:line="240" w:lineRule="auto"/>
    </w:pPr>
  </w:style>
  <w:style w:type="character" w:customStyle="1" w:styleId="af">
    <w:name w:val="Нижний колонтитул Знак"/>
    <w:basedOn w:val="a0"/>
    <w:link w:val="ae"/>
    <w:semiHidden/>
    <w:locked/>
    <w:rsid w:val="00C546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Транснациональные корпорации</vt:lpstr>
    </vt:vector>
  </TitlesOfParts>
  <Company>Reanimator Extreme Edition</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Транснациональные корпорации</dc:title>
  <dc:subject/>
  <dc:creator>Admin</dc:creator>
  <cp:keywords/>
  <dc:description/>
  <cp:lastModifiedBy>admin</cp:lastModifiedBy>
  <cp:revision>2</cp:revision>
  <dcterms:created xsi:type="dcterms:W3CDTF">2014-04-09T09:13:00Z</dcterms:created>
  <dcterms:modified xsi:type="dcterms:W3CDTF">2014-04-09T09:13:00Z</dcterms:modified>
</cp:coreProperties>
</file>