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Назва реферату</w:t>
      </w:r>
      <w:r>
        <w:rPr>
          <w:rFonts w:ascii="Verdana" w:hAnsi="Verdana"/>
          <w:sz w:val="20"/>
          <w:szCs w:val="20"/>
        </w:rPr>
        <w:t>: Електронна пошта НБУ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Розділ</w:t>
      </w:r>
      <w:r>
        <w:rPr>
          <w:rFonts w:ascii="Verdana" w:hAnsi="Verdana"/>
          <w:sz w:val="20"/>
          <w:szCs w:val="20"/>
        </w:rPr>
        <w:t>: Банківська справа</w:t>
      </w:r>
    </w:p>
    <w:p w:rsidR="00773ED9" w:rsidRDefault="00B520F4">
      <w:pPr>
        <w:pStyle w:val="a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</w:rPr>
        <w:t>Електронна пошта НБУ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План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Загальна структура електронної пошти НБУ.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Призначення та особливості електронної пошти НБУ.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Структура поштового повідомлення і адреси в електронній пошті НБУ.</w:t>
      </w:r>
      <w:r>
        <w:rPr>
          <w:rFonts w:ascii="Verdana" w:hAnsi="Verdana"/>
          <w:sz w:val="20"/>
          <w:szCs w:val="20"/>
        </w:rPr>
        <w:br w:type="page"/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Загальна структура електронної пошти НБУ.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Електронна пошта — ЕП — складається загалом із вузлів — комп'ютерів, які мають змогу встановлювати один з одним з'єднання для передавання електронних листів (повідомлень) своїх абонентів. Вузли поділяються на абонентські пункти АП 1-го типу (АП-1) та абонентські пункти 2-го типу (АП-2) (поштамти).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Кожний АП-1 передає в інші вузли лише ті повідомлення, які були підготовлені його абонентами, і приймає від решти АП лише адресовані його абонентам повідомлення. На відміну від АП-1, АП-2 передає на інший поштамт або на АП-1 будь-які повідомлення.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Усяке повідомлення ЕП має бути адресованим, тобто мати свою електронну поштову адресу. Із погляду логіки для того, щоб адреса була інформативною, необхідно, аби вона включала в себе ідентифікатор абонента (кінцевого користувача — КК) і по</w:t>
      </w:r>
      <w:r>
        <w:rPr>
          <w:rFonts w:ascii="Verdana" w:hAnsi="Verdana"/>
          <w:sz w:val="20"/>
          <w:szCs w:val="20"/>
        </w:rPr>
        <w:softHyphen/>
        <w:t>штові координати, які визначають місцезнаходження КК. Правила адресації в різних системах ЕП відрізняються одне від одного, але ці логічні елементи присутні завжди.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Електронна пошта НБУ — це комп'ютерна мережа, яка ефек</w:t>
      </w:r>
      <w:r>
        <w:rPr>
          <w:rFonts w:ascii="Verdana" w:hAnsi="Verdana"/>
          <w:sz w:val="20"/>
          <w:szCs w:val="20"/>
        </w:rPr>
        <w:softHyphen/>
        <w:t>тивно працює з 1994 року. Головним поштовхом до її створення було те, що для банків не є прийнятною технологія, коли пові</w:t>
      </w:r>
      <w:r>
        <w:rPr>
          <w:rFonts w:ascii="Verdana" w:hAnsi="Verdana"/>
          <w:sz w:val="20"/>
          <w:szCs w:val="20"/>
        </w:rPr>
        <w:softHyphen/>
        <w:t>домлення передаються через центри (вузли), які не належать їм. Водночас враховувалась і можливість кращого регулювання за</w:t>
      </w:r>
      <w:r>
        <w:rPr>
          <w:rFonts w:ascii="Verdana" w:hAnsi="Verdana"/>
          <w:sz w:val="20"/>
          <w:szCs w:val="20"/>
        </w:rPr>
        <w:softHyphen/>
        <w:t>вантаження, забезпечення потрібної швидкості передавання та доставляння повідомлень тощо.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Електронна пошта НБУ являє собою програмно-технічну та адміністративно-технологічну мережу, яка забезпечує обмін да</w:t>
      </w:r>
      <w:r>
        <w:rPr>
          <w:rFonts w:ascii="Verdana" w:hAnsi="Verdana"/>
          <w:sz w:val="20"/>
          <w:szCs w:val="20"/>
        </w:rPr>
        <w:softHyphen/>
        <w:t>ними в банківській системі України. Вона призначена для надійно</w:t>
      </w:r>
      <w:r>
        <w:rPr>
          <w:rFonts w:ascii="Verdana" w:hAnsi="Verdana"/>
          <w:sz w:val="20"/>
          <w:szCs w:val="20"/>
        </w:rPr>
        <w:softHyphen/>
        <w:t>го та якісного приймання і передавання електронних повідом</w:t>
      </w:r>
      <w:r>
        <w:rPr>
          <w:rFonts w:ascii="Verdana" w:hAnsi="Verdana"/>
          <w:sz w:val="20"/>
          <w:szCs w:val="20"/>
        </w:rPr>
        <w:softHyphen/>
        <w:t>лень. Джерелами та одержувачами останніх можуть бути як різні програмні продукти (зокрема й прикладні програми), так і фізи</w:t>
      </w:r>
      <w:r>
        <w:rPr>
          <w:rFonts w:ascii="Verdana" w:hAnsi="Verdana"/>
          <w:sz w:val="20"/>
          <w:szCs w:val="20"/>
        </w:rPr>
        <w:softHyphen/>
        <w:t>чні особи. Вони є кінцевими користувачами системи. Систему ЕП НБУ створюють поштові вузли. Розрізняють Центральний, регіо</w:t>
      </w:r>
      <w:r>
        <w:rPr>
          <w:rFonts w:ascii="Verdana" w:hAnsi="Verdana"/>
          <w:sz w:val="20"/>
          <w:szCs w:val="20"/>
        </w:rPr>
        <w:softHyphen/>
        <w:t>нальні та абонентські вузли —АВ.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Центральний і регіональні вузли є абонентськими пунктами 2-го типу, а решта вузлів — АП 1-го типу. До них належать вуз</w:t>
      </w:r>
      <w:r>
        <w:rPr>
          <w:rFonts w:ascii="Verdana" w:hAnsi="Verdana"/>
          <w:sz w:val="20"/>
          <w:szCs w:val="20"/>
        </w:rPr>
        <w:softHyphen/>
        <w:t>ли, що розміщені в комерційних банках України, а також в уря</w:t>
      </w:r>
      <w:r>
        <w:rPr>
          <w:rFonts w:ascii="Verdana" w:hAnsi="Verdana"/>
          <w:sz w:val="20"/>
          <w:szCs w:val="20"/>
        </w:rPr>
        <w:softHyphen/>
        <w:t>дових і державних установах, які взаємодіють з банківською сис</w:t>
      </w:r>
      <w:r>
        <w:rPr>
          <w:rFonts w:ascii="Verdana" w:hAnsi="Verdana"/>
          <w:sz w:val="20"/>
          <w:szCs w:val="20"/>
        </w:rPr>
        <w:softHyphen/>
        <w:t>темою. Організаційно вузли ЕП, за винятком АВ, є структурними підрозділами системи НБУ, котрі у своїй діяльності керуються чинним законодавством України, ухвалами НБУ, відповідними положеннями про ці підрозділи та положеннями про ЕП НБУ.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Центральний вузол — ЦВ — це підрозділ Центрального управління НБУ, а регіональні вузли — РВ — підрозділи відпо</w:t>
      </w:r>
      <w:r>
        <w:rPr>
          <w:rFonts w:ascii="Verdana" w:hAnsi="Verdana"/>
          <w:sz w:val="20"/>
          <w:szCs w:val="20"/>
        </w:rPr>
        <w:softHyphen/>
        <w:t>відних територіальних управлінь НБУ.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Абонентський вузол може входити до складу будь-якої уста</w:t>
      </w:r>
      <w:r>
        <w:rPr>
          <w:rFonts w:ascii="Verdana" w:hAnsi="Verdana"/>
          <w:sz w:val="20"/>
          <w:szCs w:val="20"/>
        </w:rPr>
        <w:softHyphen/>
        <w:t>нови (КБ і т. ін.), що виконує всі умови, які ставляться в разі підімкнення абонентів до ЕП, і бере участь у роботі системи. Вузли можуть бути зв'язані між собою за допомогою виділених чи ко</w:t>
      </w:r>
      <w:r>
        <w:rPr>
          <w:rFonts w:ascii="Verdana" w:hAnsi="Verdana"/>
          <w:sz w:val="20"/>
          <w:szCs w:val="20"/>
        </w:rPr>
        <w:softHyphen/>
        <w:t>мутованих телефонних і телеграфних каналів зв'язку або через радіоканал і супутникові системи передавання даних.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br w:type="page"/>
      </w:r>
      <w:r>
        <w:rPr>
          <w:rFonts w:ascii="Verdana" w:hAnsi="Verdana"/>
          <w:sz w:val="20"/>
          <w:szCs w:val="20"/>
        </w:rPr>
        <w:t>2. Призначення та особливості електронної пошти НБУ.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Система ЕП НБУ дає змогу інтегрувати локальні обчислю</w:t>
      </w:r>
      <w:r>
        <w:rPr>
          <w:rFonts w:ascii="Verdana" w:hAnsi="Verdana"/>
          <w:sz w:val="20"/>
          <w:szCs w:val="20"/>
        </w:rPr>
        <w:softHyphen/>
        <w:t>вальні мережі — ЛОМ, які існують в її вузлах. Використовуючи ЕП, кожний користувач робочої станції — PC — ЛОМ її вузла може відправити повідомлення у вигляді текстового файла, під</w:t>
      </w:r>
      <w:r>
        <w:rPr>
          <w:rFonts w:ascii="Verdana" w:hAnsi="Verdana"/>
          <w:sz w:val="20"/>
          <w:szCs w:val="20"/>
        </w:rPr>
        <w:softHyphen/>
        <w:t>готовленого з використанням довільного текстового редактора; графічного файла, що містить графічні конструкції будь-якого вигляду; файла бази даних типу .DBF; файла табличного проце</w:t>
      </w:r>
      <w:r>
        <w:rPr>
          <w:rFonts w:ascii="Verdana" w:hAnsi="Verdana"/>
          <w:sz w:val="20"/>
          <w:szCs w:val="20"/>
        </w:rPr>
        <w:softHyphen/>
        <w:t>сора. Інший абонент, який перебуває в іншому регіоні і є корис</w:t>
      </w:r>
      <w:r>
        <w:rPr>
          <w:rFonts w:ascii="Verdana" w:hAnsi="Verdana"/>
          <w:sz w:val="20"/>
          <w:szCs w:val="20"/>
        </w:rPr>
        <w:softHyphen/>
        <w:t>тувачем ЛОМ свого вузла, може приймати ці повідомлення на свою PC.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Переваги ЕП НБУ такі: висока швидкість доставляння пові</w:t>
      </w:r>
      <w:r>
        <w:rPr>
          <w:rFonts w:ascii="Verdana" w:hAnsi="Verdana"/>
          <w:sz w:val="20"/>
          <w:szCs w:val="20"/>
        </w:rPr>
        <w:softHyphen/>
        <w:t>домлень та можливість автоматизувати в установі процес оброб</w:t>
      </w:r>
      <w:r>
        <w:rPr>
          <w:rFonts w:ascii="Verdana" w:hAnsi="Verdana"/>
          <w:sz w:val="20"/>
          <w:szCs w:val="20"/>
        </w:rPr>
        <w:softHyphen/>
        <w:t>ки документації, починаючи з її отримання.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Система ЕП НБУ не є системою діалогової взаємодії і має такі особливості: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формування й приймання поштових повідомлень — процеси, що розділені в часі і виконуються незалежно від процесів встано</w:t>
      </w:r>
      <w:r>
        <w:rPr>
          <w:rFonts w:ascii="Verdana" w:hAnsi="Verdana"/>
          <w:sz w:val="20"/>
          <w:szCs w:val="20"/>
        </w:rPr>
        <w:softHyphen/>
        <w:t>влення з'єднань між вузлами та передаванням даних;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система ЕП використовує архітектуру, коли повідомлення запам'ятовується на одному вузлі, а далі передається за маршру</w:t>
      </w:r>
      <w:r>
        <w:rPr>
          <w:rFonts w:ascii="Verdana" w:hAnsi="Verdana"/>
          <w:sz w:val="20"/>
          <w:szCs w:val="20"/>
        </w:rPr>
        <w:softHyphen/>
        <w:t>том до іншого вузла доти, доки воно не буде доставлене адресатові. Така архітектура забезпечує передавання даних навіть у разі можливих відказів засобів зв'язку;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ЕП НБУ дає змогу передавати повідомлення одночасно бага</w:t>
      </w:r>
      <w:r>
        <w:rPr>
          <w:rFonts w:ascii="Verdana" w:hAnsi="Verdana"/>
          <w:sz w:val="20"/>
          <w:szCs w:val="20"/>
        </w:rPr>
        <w:softHyphen/>
        <w:t>тьом користувачам завдяки введенню спеціального механізму «група вузлів» і вказуванню кількох адресатів при формуванні «поштового конверта». Таким чином передаються повідомлення, що стосуються багатьох або всіх абонентів, наприклад, загальні дані типу коригувань списку учасників, адрес вузлів ЕП тощо;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система ЕП НБУ допомагає організовувати взаємодію між програмними комплексами автоматизації банківської діяльності, які містяться в різних вузлах. При цьому забезпечується весь сервіс щодо зберігання, документування й надійності доставлян</w:t>
      </w:r>
      <w:r>
        <w:rPr>
          <w:rFonts w:ascii="Verdana" w:hAnsi="Verdana"/>
          <w:sz w:val="20"/>
          <w:szCs w:val="20"/>
        </w:rPr>
        <w:softHyphen/>
        <w:t>ня кореспонденції;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можливе підімкнення до ЕП НБУ серверів для факсимільно</w:t>
      </w:r>
      <w:r>
        <w:rPr>
          <w:rFonts w:ascii="Verdana" w:hAnsi="Verdana"/>
          <w:sz w:val="20"/>
          <w:szCs w:val="20"/>
        </w:rPr>
        <w:softHyphen/>
        <w:t>го й телексного зв'язку, що дозволяє надавати додаткові послуги, додатковий сервіс кінцевому користувачеві.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Система ЕП НБУ підтримує роботу абонентського вузла на базі використання таких технічних засобів: IBM-сумісних персо</w:t>
      </w:r>
      <w:r>
        <w:rPr>
          <w:rFonts w:ascii="Verdana" w:hAnsi="Verdana"/>
          <w:sz w:val="20"/>
          <w:szCs w:val="20"/>
        </w:rPr>
        <w:softHyphen/>
        <w:t>нальних комп'ютерів, «Науез»-сумісних модемів, що відповіда</w:t>
      </w:r>
      <w:r>
        <w:rPr>
          <w:rFonts w:ascii="Verdana" w:hAnsi="Verdana"/>
          <w:sz w:val="20"/>
          <w:szCs w:val="20"/>
        </w:rPr>
        <w:softHyphen/>
        <w:t>ють стандартам V.22 bis, V.32, V.32bis, криптографічнх блоків, комутованих телефонних каналів загального користування або спеціалізованої мережі «Іскра-2». Кількість каналів визначає</w:t>
      </w:r>
      <w:r>
        <w:rPr>
          <w:rFonts w:ascii="Verdana" w:hAnsi="Verdana"/>
          <w:sz w:val="20"/>
          <w:szCs w:val="20"/>
        </w:rPr>
        <w:softHyphen/>
        <w:t>ться інтенсивністю та обсягами передавання/приймання даних у вузлі. У разі використання кількох телефонних каналів для зруч</w:t>
      </w:r>
      <w:r>
        <w:rPr>
          <w:rFonts w:ascii="Verdana" w:hAnsi="Verdana"/>
          <w:sz w:val="20"/>
          <w:szCs w:val="20"/>
        </w:rPr>
        <w:softHyphen/>
        <w:t>ності в роботі організовують один груповий номер.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 Центральному і регіональних вузлах додатково приєднують робочі станції, на яких виконуються програми управління з'єднаннями і транспортування даних. (Потрібно зберігати на ву</w:t>
      </w:r>
      <w:r>
        <w:rPr>
          <w:rFonts w:ascii="Verdana" w:hAnsi="Verdana"/>
          <w:sz w:val="20"/>
          <w:szCs w:val="20"/>
        </w:rPr>
        <w:softHyphen/>
        <w:t>злі дані, що надходять, розподіляти їх між відповідними вузлами та забезпечувати транспортування.)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Залежно від типу вузла використовується певний набір про</w:t>
      </w:r>
      <w:r>
        <w:rPr>
          <w:rFonts w:ascii="Verdana" w:hAnsi="Verdana"/>
          <w:sz w:val="20"/>
          <w:szCs w:val="20"/>
        </w:rPr>
        <w:softHyphen/>
        <w:t>грамного забезпечення. У ЦВ і РЕВ це мережні ОС NetWare фірми NOVELL, вузлова версія ProCarry, операційна система DOS 5.O. На абонентських вузлах використовуються DOS, версія 3.30 і вищі; один із комутаційних мережних пакетів NetWare, ProCarry, PieNET, ASTRA, ACROCOM, мережні еле</w:t>
      </w:r>
      <w:r>
        <w:rPr>
          <w:rFonts w:ascii="Verdana" w:hAnsi="Verdana"/>
          <w:sz w:val="20"/>
          <w:szCs w:val="20"/>
        </w:rPr>
        <w:softHyphen/>
        <w:t>менти UNIX. Найпоширенішою (частка її становить близько 85 %) є система ProCarry, хоча останнім часом починає зростати й частка UNIX.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ЕП ведеться довідник вузлів ЕП, який міститься в кожному вузлі системи у вигляді файла з іменем «SPRUSNBU.DBF». Цей довідник фактично описує адресний простір вузлів ЕП. Він ведеться в ЦВ, служби якого забезпечують актуалізацію довідника й готують коректури для розсилання по всіх інших вузлах ЕП НБУ. Кожний вузол має належне лише йому поштове ім'я.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Для АВ, які містяться в банківських установах, ім'я вузла складається з чотирьох знаків, де перший знак є постійним (латин</w:t>
      </w:r>
      <w:r>
        <w:rPr>
          <w:rFonts w:ascii="Verdana" w:hAnsi="Verdana"/>
          <w:sz w:val="20"/>
          <w:szCs w:val="20"/>
        </w:rPr>
        <w:softHyphen/>
        <w:t>ська буква «U»), другий — латинська буква, яка визначає регіон (об</w:t>
      </w:r>
      <w:r>
        <w:rPr>
          <w:rFonts w:ascii="Verdana" w:hAnsi="Verdana"/>
          <w:sz w:val="20"/>
          <w:szCs w:val="20"/>
        </w:rPr>
        <w:softHyphen/>
        <w:t>ласть) України (наприклад, «А» — Вінницька область, «В» — Во</w:t>
      </w:r>
      <w:r>
        <w:rPr>
          <w:rFonts w:ascii="Verdana" w:hAnsi="Verdana"/>
          <w:sz w:val="20"/>
          <w:szCs w:val="20"/>
        </w:rPr>
        <w:softHyphen/>
        <w:t>линська і т. д.), третій знак задає код типу або множини банківських установ, а четвертий — номер вузла в даному типі чи множині бан</w:t>
      </w:r>
      <w:r>
        <w:rPr>
          <w:rFonts w:ascii="Verdana" w:hAnsi="Verdana"/>
          <w:sz w:val="20"/>
          <w:szCs w:val="20"/>
        </w:rPr>
        <w:softHyphen/>
        <w:t>ківських установ.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Система має суто ієрархічну трирівневу структуру. На 1-му рівні перебуває ЦВ, на 2-му містяться регіональні вузли, а на 3-му — абонентські вузли. Кожний АВ входить лише до одного регіонального, а регіональні вузли входять до ЦВ. Завдяки тому, що РЕВ — це, як правило, обласні вузли (крім Київського), за</w:t>
      </w:r>
      <w:r>
        <w:rPr>
          <w:rFonts w:ascii="Verdana" w:hAnsi="Verdana"/>
          <w:sz w:val="20"/>
          <w:szCs w:val="20"/>
        </w:rPr>
        <w:softHyphen/>
        <w:t>безпечується охоплення всієї території країни.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Звичайний режим роботи вузлів — запитово-активний для вузла нижчого рівня щодо вищестоящого. Тобто АВ як вузол 3-го рівня є запитово-активним, сам активізує запит до (і тільки до) відповідного свого регіонального вузла як вузла 2-го рівня. Так само у звичайному режимі РЕВ є запитово-активним щодо Цент</w:t>
      </w:r>
      <w:r>
        <w:rPr>
          <w:rFonts w:ascii="Verdana" w:hAnsi="Verdana"/>
          <w:sz w:val="20"/>
          <w:szCs w:val="20"/>
        </w:rPr>
        <w:softHyphen/>
        <w:t>рального вузла системи, але на відміну від АВ він може генеру</w:t>
      </w:r>
      <w:r>
        <w:rPr>
          <w:rFonts w:ascii="Verdana" w:hAnsi="Verdana"/>
          <w:sz w:val="20"/>
          <w:szCs w:val="20"/>
        </w:rPr>
        <w:softHyphen/>
        <w:t>вати запит і до будь-якого свого нижчестоящого абонентського вузла. Відповідно ЦВ може генерувати запит до кожного регіо</w:t>
      </w:r>
      <w:r>
        <w:rPr>
          <w:rFonts w:ascii="Verdana" w:hAnsi="Verdana"/>
          <w:sz w:val="20"/>
          <w:szCs w:val="20"/>
        </w:rPr>
        <w:softHyphen/>
        <w:t>нального вузла.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br w:type="page"/>
      </w:r>
      <w:r>
        <w:rPr>
          <w:rFonts w:ascii="Verdana" w:hAnsi="Verdana"/>
          <w:sz w:val="20"/>
          <w:szCs w:val="20"/>
        </w:rPr>
        <w:t>3. Структура поштового повідомлення і адреси в електронній пошті НБУ.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множині вузлів пошти для забезпечення передавання пові</w:t>
      </w:r>
      <w:r>
        <w:rPr>
          <w:rFonts w:ascii="Verdana" w:hAnsi="Verdana"/>
          <w:sz w:val="20"/>
          <w:szCs w:val="20"/>
        </w:rPr>
        <w:softHyphen/>
        <w:t>домлень визначається набір маршрутів, де описуються шляхи до</w:t>
      </w:r>
      <w:r>
        <w:rPr>
          <w:rFonts w:ascii="Verdana" w:hAnsi="Verdana"/>
          <w:sz w:val="20"/>
          <w:szCs w:val="20"/>
        </w:rPr>
        <w:softHyphen/>
        <w:t>ступу від одного вузла до іншого. Ці маршрути використовують</w:t>
      </w:r>
      <w:r>
        <w:rPr>
          <w:rFonts w:ascii="Verdana" w:hAnsi="Verdana"/>
          <w:sz w:val="20"/>
          <w:szCs w:val="20"/>
        </w:rPr>
        <w:softHyphen/>
        <w:t>ся при транспортуванні поштових повідомлень. З огляду на ієрар</w:t>
      </w:r>
      <w:r>
        <w:rPr>
          <w:rFonts w:ascii="Verdana" w:hAnsi="Verdana"/>
          <w:sz w:val="20"/>
          <w:szCs w:val="20"/>
        </w:rPr>
        <w:softHyphen/>
        <w:t>хічну структуру ЕП доставляння поштового повідомлення — ПОП— між двома РЕВ можливе лише через ЦВ. Ясна річ, що і ПОП АВ одного РЕВ до АВ іншого РЕВ іде транзитом через ЦВ. Можливі маршрути в ЕП можна записати у вигляді: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АВ(а) </w:t>
      </w:r>
      <w:r w:rsidR="0065547D"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5pt;height:11.25pt"/>
        </w:pict>
      </w:r>
      <w:r>
        <w:rPr>
          <w:rFonts w:ascii="Verdana" w:hAnsi="Verdana"/>
          <w:sz w:val="20"/>
          <w:szCs w:val="20"/>
        </w:rPr>
        <w:t xml:space="preserve">РЕВ </w:t>
      </w:r>
      <w:r w:rsidR="0065547D">
        <w:rPr>
          <w:rFonts w:ascii="Verdana" w:hAnsi="Verdana"/>
          <w:sz w:val="20"/>
          <w:szCs w:val="20"/>
        </w:rPr>
        <w:pict>
          <v:shape id="_x0000_i1035" type="#_x0000_t75" style="width:15pt;height:11.25pt"/>
        </w:pict>
      </w:r>
      <w:r>
        <w:rPr>
          <w:rFonts w:ascii="Verdana" w:hAnsi="Verdana"/>
          <w:sz w:val="20"/>
          <w:szCs w:val="20"/>
        </w:rPr>
        <w:t xml:space="preserve">АВ(б), АВ(а) </w:t>
      </w:r>
      <w:r w:rsidR="0065547D">
        <w:rPr>
          <w:rFonts w:ascii="Verdana" w:hAnsi="Verdana"/>
          <w:sz w:val="20"/>
          <w:szCs w:val="20"/>
        </w:rPr>
        <w:pict>
          <v:shape id="_x0000_i1038" type="#_x0000_t75" style="width:15pt;height:11.25pt"/>
        </w:pict>
      </w:r>
      <w:r>
        <w:rPr>
          <w:rFonts w:ascii="Verdana" w:hAnsi="Verdana"/>
          <w:sz w:val="20"/>
          <w:szCs w:val="20"/>
        </w:rPr>
        <w:t xml:space="preserve">РЕВ(а) </w:t>
      </w:r>
      <w:r w:rsidR="0065547D">
        <w:rPr>
          <w:rFonts w:ascii="Verdana" w:hAnsi="Verdana"/>
          <w:sz w:val="20"/>
          <w:szCs w:val="20"/>
        </w:rPr>
        <w:pict>
          <v:shape id="_x0000_i1041" type="#_x0000_t75" style="width:15pt;height:11.25pt"/>
        </w:pict>
      </w:r>
      <w:r>
        <w:rPr>
          <w:rFonts w:ascii="Verdana" w:hAnsi="Verdana"/>
          <w:sz w:val="20"/>
          <w:szCs w:val="20"/>
        </w:rPr>
        <w:t xml:space="preserve">ЦВ </w:t>
      </w:r>
      <w:r w:rsidR="0065547D">
        <w:rPr>
          <w:rFonts w:ascii="Verdana" w:hAnsi="Verdana"/>
          <w:sz w:val="20"/>
          <w:szCs w:val="20"/>
        </w:rPr>
        <w:pict>
          <v:shape id="_x0000_i1044" type="#_x0000_t75" style="width:15pt;height:11.25pt"/>
        </w:pict>
      </w:r>
      <w:r>
        <w:rPr>
          <w:rFonts w:ascii="Verdana" w:hAnsi="Verdana"/>
          <w:sz w:val="20"/>
          <w:szCs w:val="20"/>
        </w:rPr>
        <w:t xml:space="preserve">РЕВ(б) </w:t>
      </w:r>
      <w:r w:rsidR="0065547D">
        <w:rPr>
          <w:rFonts w:ascii="Verdana" w:hAnsi="Verdana"/>
          <w:sz w:val="20"/>
          <w:szCs w:val="20"/>
        </w:rPr>
        <w:pict>
          <v:shape id="_x0000_i1047" type="#_x0000_t75" style="width:15pt;height:11.25pt"/>
        </w:pict>
      </w:r>
      <w:r>
        <w:rPr>
          <w:rFonts w:ascii="Verdana" w:hAnsi="Verdana"/>
          <w:sz w:val="20"/>
          <w:szCs w:val="20"/>
        </w:rPr>
        <w:t>АВ(б).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Поштові повідомлення, або «поштові конверти», є тими оди</w:t>
      </w:r>
      <w:r>
        <w:rPr>
          <w:rFonts w:ascii="Verdana" w:hAnsi="Verdana"/>
          <w:sz w:val="20"/>
          <w:szCs w:val="20"/>
        </w:rPr>
        <w:softHyphen/>
        <w:t>ницями інформації, які передаються між вузлами системи ЕП. Отже, передавання інформації відбувається не безперервним по</w:t>
      </w:r>
      <w:r>
        <w:rPr>
          <w:rFonts w:ascii="Verdana" w:hAnsi="Verdana"/>
          <w:sz w:val="20"/>
          <w:szCs w:val="20"/>
        </w:rPr>
        <w:softHyphen/>
        <w:t>током, а певними порціями (пакетами, файлами), які називають конвертами.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Усяке ПОП складається з даних службового заголовка та ін</w:t>
      </w:r>
      <w:r>
        <w:rPr>
          <w:rFonts w:ascii="Verdana" w:hAnsi="Verdana"/>
          <w:sz w:val="20"/>
          <w:szCs w:val="20"/>
        </w:rPr>
        <w:softHyphen/>
        <w:t>формаційної частини, яку називають також «тілом повідомлен</w:t>
      </w:r>
      <w:r>
        <w:rPr>
          <w:rFonts w:ascii="Verdana" w:hAnsi="Verdana"/>
          <w:sz w:val="20"/>
          <w:szCs w:val="20"/>
        </w:rPr>
        <w:softHyphen/>
        <w:t>ня». До ПОП можуть приєднуватися (додаватися) додаткові файли, які описуються в службовому заголовку і передаються адресатові разом із повідомленням. Схематично ПОП можна подати так: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9"/>
        <w:gridCol w:w="2170"/>
        <w:gridCol w:w="2198"/>
      </w:tblGrid>
      <w:tr w:rsidR="00773ED9">
        <w:trPr>
          <w:trHeight w:val="518"/>
        </w:trPr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3ED9" w:rsidRDefault="00B520F4">
            <w:pPr>
              <w:pStyle w:val="a3"/>
            </w:pPr>
            <w:r>
              <w:t>Заголовок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3ED9" w:rsidRDefault="00B520F4">
            <w:pPr>
              <w:pStyle w:val="a3"/>
            </w:pPr>
            <w:r>
              <w:t>Тіло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3ED9" w:rsidRDefault="00B520F4">
            <w:pPr>
              <w:pStyle w:val="a3"/>
            </w:pPr>
            <w:r>
              <w:t>Додатковий файл</w:t>
            </w:r>
          </w:p>
        </w:tc>
      </w:tr>
    </w:tbl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Зауважимо, що розмір повідомлення істотно залежить від засто</w:t>
      </w:r>
      <w:r>
        <w:rPr>
          <w:rFonts w:ascii="Verdana" w:hAnsi="Verdana"/>
          <w:sz w:val="20"/>
          <w:szCs w:val="20"/>
        </w:rPr>
        <w:softHyphen/>
        <w:t>совуваних програмних транспортних засобів. Скажімо, коли як транспортний засіб використовується програмний пакет ProCarry, розміри поштових повідомлень теоретично необмежені. У разі ви</w:t>
      </w:r>
      <w:r>
        <w:rPr>
          <w:rFonts w:ascii="Verdana" w:hAnsi="Verdana"/>
          <w:sz w:val="20"/>
          <w:szCs w:val="20"/>
        </w:rPr>
        <w:softHyphen/>
        <w:t>користання NetWare розмір файла, «запакованого» в конверт, і фай</w:t>
      </w:r>
      <w:r>
        <w:rPr>
          <w:rFonts w:ascii="Verdana" w:hAnsi="Verdana"/>
          <w:sz w:val="20"/>
          <w:szCs w:val="20"/>
        </w:rPr>
        <w:softHyphen/>
        <w:t>ла доповнень має не перевищувати 64 кбайт. При цьому обсяг заго</w:t>
      </w:r>
      <w:r>
        <w:rPr>
          <w:rFonts w:ascii="Verdana" w:hAnsi="Verdana"/>
          <w:sz w:val="20"/>
          <w:szCs w:val="20"/>
        </w:rPr>
        <w:softHyphen/>
        <w:t>ловка ПОП є порівняно невеликим і залежно від використовуваних програмних транспортних засобів становить від 300 до 500 байт.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Одним з елементів заголовка ПОП є адреса одержувача. Вона складається з поштового імені вузла-адресата, тобто імені АВ, РЕВ або ЦВ, та імені локального користувача — ЛК— на цьо</w:t>
      </w:r>
      <w:r>
        <w:rPr>
          <w:rFonts w:ascii="Verdana" w:hAnsi="Verdana"/>
          <w:sz w:val="20"/>
          <w:szCs w:val="20"/>
        </w:rPr>
        <w:softHyphen/>
        <w:t>му вузлі, якому безпосередньо й призначені дані. При цьому вва</w:t>
      </w:r>
      <w:r>
        <w:rPr>
          <w:rFonts w:ascii="Verdana" w:hAnsi="Verdana"/>
          <w:sz w:val="20"/>
          <w:szCs w:val="20"/>
        </w:rPr>
        <w:softHyphen/>
        <w:t>жається, що в кожному вузлі ЕП може визначатися свій набір, своя множина імен локальних користувачів.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Ім'я локального користувача (його ідентифікатор) — це набір від одного до восьми символів латинського алфавіту. Ідентифікатори ЛК різних вузлів ЕП ні між собою, ні з іменами самих вузлів ніяк не пов'язані. Тобто в рамках одного вузла вони мають бути унікальни</w:t>
      </w:r>
      <w:r>
        <w:rPr>
          <w:rFonts w:ascii="Verdana" w:hAnsi="Verdana"/>
          <w:sz w:val="20"/>
          <w:szCs w:val="20"/>
        </w:rPr>
        <w:softHyphen/>
        <w:t>ми. Проте на різних вузлах ЕП допускаються однакові імена ЛК. Наприклад, майже на кожному вузлі ЕП є ЛК з іменем «ADMIN».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Роль ЛК можуть відігравати як фізичні особи, так і задачі (програмні комплекси), що використовують ЕП для отримання й передавання інформації між вузлами. Зокрема програмно-технічний комплекс АРМ-3 у вузлах комерційних банків, маючи ім'я ELPLAT, використовує ЕП для передавання та приймання елект</w:t>
      </w:r>
      <w:r>
        <w:rPr>
          <w:rFonts w:ascii="Verdana" w:hAnsi="Verdana"/>
          <w:sz w:val="20"/>
          <w:szCs w:val="20"/>
        </w:rPr>
        <w:softHyphen/>
        <w:t>ронних платіжних повідомлень за міжбанківськими платежами.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 поштовій адресі для відокремлення ідентифікатора абонен</w:t>
      </w:r>
      <w:r>
        <w:rPr>
          <w:rFonts w:ascii="Verdana" w:hAnsi="Verdana"/>
          <w:sz w:val="20"/>
          <w:szCs w:val="20"/>
        </w:rPr>
        <w:softHyphen/>
        <w:t>та від імені поштового вузла використовують значок «@» (бан</w:t>
      </w:r>
      <w:r>
        <w:rPr>
          <w:rFonts w:ascii="Verdana" w:hAnsi="Verdana"/>
          <w:sz w:val="20"/>
          <w:szCs w:val="20"/>
        </w:rPr>
        <w:softHyphen/>
        <w:t>ківське «а»). Наприклад, поштова адреса може мати вигляд:</w:t>
      </w:r>
    </w:p>
    <w:p w:rsidR="00773ED9" w:rsidRDefault="00B520F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ADMIN@UARO, де ADMIN — ім'я ЛК на вузлі UARO.</w:t>
      </w:r>
      <w:bookmarkStart w:id="0" w:name="_GoBack"/>
      <w:bookmarkEnd w:id="0"/>
    </w:p>
    <w:sectPr w:rsidR="0077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0F4"/>
    <w:rsid w:val="0065547D"/>
    <w:rsid w:val="00773ED9"/>
    <w:rsid w:val="00B5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D753F75B-3CC9-4AF5-9FB7-541E4FE8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реферату: Електронна пошта НБУ</vt:lpstr>
    </vt:vector>
  </TitlesOfParts>
  <Company>Enisey</Company>
  <LinksUpToDate>false</LinksUpToDate>
  <CharactersWithSpaces>11053</CharactersWithSpaces>
  <SharedDoc>false</SharedDoc>
  <HLinks>
    <vt:vector size="36" baseType="variant">
      <vt:variant>
        <vt:i4>6160503</vt:i4>
      </vt:variant>
      <vt:variant>
        <vt:i4>18446</vt:i4>
      </vt:variant>
      <vt:variant>
        <vt:i4>1025</vt:i4>
      </vt:variant>
      <vt:variant>
        <vt:i4>1</vt:i4>
      </vt:variant>
      <vt:variant>
        <vt:lpwstr>refimages\image001.gif</vt:lpwstr>
      </vt:variant>
      <vt:variant>
        <vt:lpwstr/>
      </vt:variant>
      <vt:variant>
        <vt:i4>6160503</vt:i4>
      </vt:variant>
      <vt:variant>
        <vt:i4>18590</vt:i4>
      </vt:variant>
      <vt:variant>
        <vt:i4>1026</vt:i4>
      </vt:variant>
      <vt:variant>
        <vt:i4>1</vt:i4>
      </vt:variant>
      <vt:variant>
        <vt:lpwstr>refimages\image001.gif</vt:lpwstr>
      </vt:variant>
      <vt:variant>
        <vt:lpwstr/>
      </vt:variant>
      <vt:variant>
        <vt:i4>6160503</vt:i4>
      </vt:variant>
      <vt:variant>
        <vt:i4>18752</vt:i4>
      </vt:variant>
      <vt:variant>
        <vt:i4>1027</vt:i4>
      </vt:variant>
      <vt:variant>
        <vt:i4>1</vt:i4>
      </vt:variant>
      <vt:variant>
        <vt:lpwstr>refimages\image001.gif</vt:lpwstr>
      </vt:variant>
      <vt:variant>
        <vt:lpwstr/>
      </vt:variant>
      <vt:variant>
        <vt:i4>6160503</vt:i4>
      </vt:variant>
      <vt:variant>
        <vt:i4>18902</vt:i4>
      </vt:variant>
      <vt:variant>
        <vt:i4>1028</vt:i4>
      </vt:variant>
      <vt:variant>
        <vt:i4>1</vt:i4>
      </vt:variant>
      <vt:variant>
        <vt:lpwstr>refimages\image001.gif</vt:lpwstr>
      </vt:variant>
      <vt:variant>
        <vt:lpwstr/>
      </vt:variant>
      <vt:variant>
        <vt:i4>6160503</vt:i4>
      </vt:variant>
      <vt:variant>
        <vt:i4>19044</vt:i4>
      </vt:variant>
      <vt:variant>
        <vt:i4>1029</vt:i4>
      </vt:variant>
      <vt:variant>
        <vt:i4>1</vt:i4>
      </vt:variant>
      <vt:variant>
        <vt:lpwstr>refimages\image001.gif</vt:lpwstr>
      </vt:variant>
      <vt:variant>
        <vt:lpwstr/>
      </vt:variant>
      <vt:variant>
        <vt:i4>6160503</vt:i4>
      </vt:variant>
      <vt:variant>
        <vt:i4>19194</vt:i4>
      </vt:variant>
      <vt:variant>
        <vt:i4>1030</vt:i4>
      </vt:variant>
      <vt:variant>
        <vt:i4>1</vt:i4>
      </vt:variant>
      <vt:variant>
        <vt:lpwstr>refimages\image001.gif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реферату: Електронна пошта НБУ</dc:title>
  <dc:subject/>
  <dc:creator>Program</dc:creator>
  <cp:keywords/>
  <dc:description/>
  <cp:lastModifiedBy>admin</cp:lastModifiedBy>
  <cp:revision>2</cp:revision>
  <dcterms:created xsi:type="dcterms:W3CDTF">2014-04-18T19:22:00Z</dcterms:created>
  <dcterms:modified xsi:type="dcterms:W3CDTF">2014-04-18T19:22:00Z</dcterms:modified>
</cp:coreProperties>
</file>