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14" w:rsidRPr="00DD4AFF" w:rsidRDefault="003B1314" w:rsidP="00DD4A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D4AF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Особливості стан</w:t>
      </w:r>
      <w:r w:rsidR="00B928BF" w:rsidRPr="00DD4AF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овлення ринку цінних паперів в </w:t>
      </w:r>
      <w:r w:rsidRPr="00DD4AF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Україні</w:t>
      </w:r>
    </w:p>
    <w:p w:rsidR="00DD4AFF" w:rsidRDefault="00DD4AFF" w:rsidP="00BE6A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B1314" w:rsidRPr="00DD4AFF" w:rsidRDefault="003B1314" w:rsidP="00BE6A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 рівню свого розвитку український ринок цінних паперів знаходиться в початковій стадії розвитку. Це пов'язано з багатьма причинами, включаючи </w:t>
      </w:r>
      <w:r w:rsidR="00B928BF"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повільний </w:t>
      </w:r>
      <w:r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>темп приватизації і недоліки в роботі українських фінансових установ. Проте вже спостерігається поступове переміщення на фондовий ринок засобів з валютного ринку і ринку банківських депозитів.</w:t>
      </w:r>
      <w:r w:rsidR="003267C0"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Отже, розглянемо ключові тенденції, оскільки їхній вплив із часом може позначитися і на характері функціонування ринку цінних паперів в Україні. Цими тенденціями є: інтернаціоналізація й глобалізація ринку; підвищення рівня організованості й посилення державного контролю; комп’ютеризація ринку цінних паперів; нововведення на ринку; сек’юритизація тощо.</w:t>
      </w:r>
      <w:r w:rsid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>Особливістю ринку цінних паперів на Україні є його участь в приватизації. Так, в березні 1995 року був прийнятий закон "Про приватизаційні папери", що визначив порядок використовування і обігу на території України приватизаційних цінних паперів. Приватизаційні сертифікати є іменними цінними паперами, які підтверджують право власності на придбані об'єкти приватизації. Закон забороняє вільний обіг, продаж або інше відчуження приватизаційних паперів. Це обмежує участь в приватизації професійних учасників ринку цінних паперів. Проте недосконалість законодавства дозволяє в окремих випадках обходити обмеження.</w:t>
      </w:r>
      <w:r w:rsid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3267C0"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>Інтернаціоналізація і глобалізація ринку цінних паперів означає, що національний капітал переходить кордони країн, формується світовий ринок цінних паперів, стосовно якого національні ринки цінних паперів стають вторинними. Інвестор з будь-якої країни дістає можливість вкладати свої вільні кошти у цінні папери, що обертаються в інших країнах. Національні ринки перетворюються на складові глобального ринку цінних паперів. Торгівля на такому ринку триває безперервно й повсюдно. Його підґрунтя становлять цінні папери транснаціональних компаній.</w:t>
      </w:r>
      <w:r w:rsid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3267C0"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>ідвищення рівня організованості й посилення державного контролю за ринком цінних паперів має за мету забезпечення надійності ринку і довіри до нього з боку масового інвестора. Жодна держава сьогодні не може допустити, щоб віра в цей ринок похитнулася і маси людей, котрі вклали свої заощадження у цінні папери своєї або будь-якої іншої країни, раптом втратили їх унаслідок якихось катаклізмів або шахрайства. Комп’ютеризація ринку цінних паперів уможливила революцію в обслуговуванні ринку шляхом сучасних систем швидких розрахунків між учасниками ринку та способах торгівлі. Комп’ютеризація становить фундамент усіх нововведень на ринку цінних паперів. Сек’юритизація — це тенденція переходу грошових коштів зі своїх традиційних форм, якими є заощадження, готівка, депозити тощо, у форму цінних паперів. Це дістає вияв у тому, що дедалі більша маса капіталу набуває цієї форми, на місце одних цінних паперів заступають інші, доступніші для великої кількості інвесторів.</w:t>
      </w:r>
      <w:r w:rsid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>Аналізуючи особливості ринку цінних паперів на Україні, про яких було сказано вище, можна сказати, що в даний час невисока активність на фондовому ринку зв'язана не тільки з невеликою кількістю, але і відсутністю надійних і високоліквідних цінних паперів. Аналізуючи ситуацію, що склалася, стає очевидним, з одного боку, невиконання такими емітентами своїх зобов'язань, наприклад виплати обіцяних дивідендів або термінів їх виплати, а з іншою періодична гра на пониження курсової вартості, скупка емітентом своїх паперів, іноді виплата дивідендів, знову падіння курсу і далі по старому сценарію. Торговці при роботі з паперами таких емітентів прагнуть максимально скоротити час обороту і віддають перевагу роботі з невеликими пакетами з метою мінімізації ризику.</w:t>
      </w:r>
      <w:r w:rsid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>Отже, в цілому становлення і розвиток ринку цінних паперів України має однозначну спекулятивну тенденцію, проте з виходом на нього акцій промислових підприємств він почне набувати інший вигляд і інші пріоритети. Багато хто дилери припинив роботу із спекулятивними цінними паперами, а інвестиції в цінні папери приватизованих підприємств використовуються для участі в діяльності підприємств з подальшим можливим отриманням довгострокового прибутку від зростання курсової вартості.</w:t>
      </w:r>
    </w:p>
    <w:p w:rsidR="005C3C92" w:rsidRPr="00DD4AFF" w:rsidRDefault="005C3C92" w:rsidP="00BE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3C92" w:rsidRPr="00DD4AFF" w:rsidRDefault="00ED462C" w:rsidP="00BE6A2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b/>
          <w:sz w:val="28"/>
          <w:szCs w:val="28"/>
          <w:lang w:val="uk-UA"/>
        </w:rPr>
        <w:t xml:space="preserve">Шляхи </w:t>
      </w:r>
      <w:bookmarkStart w:id="0" w:name="289"/>
      <w:bookmarkEnd w:id="0"/>
      <w:r w:rsidRPr="00BE6A2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вдосконалення</w:t>
      </w:r>
      <w:r w:rsidRPr="00BE6A2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DD4AFF">
        <w:rPr>
          <w:rFonts w:ascii="Times New Roman" w:hAnsi="Times New Roman"/>
          <w:b/>
          <w:sz w:val="28"/>
          <w:szCs w:val="28"/>
          <w:lang w:val="uk-UA"/>
        </w:rPr>
        <w:t xml:space="preserve">відносин на </w:t>
      </w:r>
      <w:bookmarkStart w:id="1" w:name="290"/>
      <w:bookmarkEnd w:id="1"/>
      <w:r w:rsidRPr="00BE6A2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ринку цінних паперів</w:t>
      </w:r>
      <w:r w:rsidRPr="00DD4AFF">
        <w:rPr>
          <w:rFonts w:ascii="Times New Roman" w:hAnsi="Times New Roman"/>
          <w:b/>
          <w:sz w:val="28"/>
          <w:szCs w:val="28"/>
          <w:lang w:val="uk-UA"/>
        </w:rPr>
        <w:t xml:space="preserve"> в Україні</w:t>
      </w:r>
    </w:p>
    <w:p w:rsidR="00DD4AFF" w:rsidRDefault="00DD4AFF" w:rsidP="00BE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4AFF" w:rsidRDefault="00ED462C" w:rsidP="00BE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Досвід побудови національних фінансових </w:t>
      </w:r>
      <w:bookmarkStart w:id="2" w:name="291"/>
      <w:bookmarkEnd w:id="2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ринків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латиноамериканських країн і Росії не може бути кращим прикладом для України, оскільки неможливо впроваджувати однакові засоби боротьби з фінансовою кризою у всіх країнах. Коли світові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ринки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дедалі більше інтегруються, координація їхньої діяльності й забезпечення інституційних основ функціонування залишається національним пріоритетом. Оздоровлення фінансового </w:t>
      </w:r>
      <w:bookmarkStart w:id="3" w:name="292"/>
      <w:bookmarkEnd w:id="3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України нині вимагає розробки науково обґрунтованої стратегії випуску і обігу державних </w:t>
      </w:r>
      <w:bookmarkStart w:id="4" w:name="293"/>
      <w:bookmarkEnd w:id="4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цінних паперів</w:t>
      </w:r>
      <w:r w:rsidRPr="00DD4AFF">
        <w:rPr>
          <w:rFonts w:ascii="Times New Roman" w:hAnsi="Times New Roman"/>
          <w:sz w:val="28"/>
          <w:szCs w:val="28"/>
          <w:lang w:val="uk-UA"/>
        </w:rPr>
        <w:t>, що базується на довготермінових конструктивних інтересах держави.</w:t>
      </w:r>
    </w:p>
    <w:p w:rsidR="00ED462C" w:rsidRPr="00DD4AFF" w:rsidRDefault="00ED462C" w:rsidP="00BE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Підвищення конкурентоспроможності українського фондового</w:t>
      </w:r>
      <w:r w:rsidRPr="00DD4A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5" w:name="294"/>
      <w:bookmarkEnd w:id="5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і цивілізована інтеграція до міжнародних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ринків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капіталу повинні стати пріоритетами державної політики на фондовому </w:t>
      </w:r>
      <w:bookmarkStart w:id="6" w:name="295"/>
      <w:bookmarkEnd w:id="6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:rsidR="00ED462C" w:rsidRPr="00DD4AFF" w:rsidRDefault="00ED462C" w:rsidP="00BE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З цією метою можна сформулювати наступні пропозиції:</w:t>
      </w:r>
    </w:p>
    <w:p w:rsidR="00B93AFC" w:rsidRPr="00DD4AFF" w:rsidRDefault="00ED462C" w:rsidP="00BE6A2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впровадження в корпоративні відносини міжнародних стандартів корпоративного управління;</w:t>
      </w:r>
    </w:p>
    <w:p w:rsidR="00B93AFC" w:rsidRPr="00DD4AFF" w:rsidRDefault="00ED462C" w:rsidP="00BE6A2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трансформація українських торговців</w:t>
      </w:r>
      <w:bookmarkStart w:id="7" w:name="296"/>
      <w:bookmarkEnd w:id="7"/>
      <w:r w:rsidR="00C442E7" w:rsidRPr="00DD4A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цінними паперами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у повнофункціональні,</w:t>
      </w:r>
    </w:p>
    <w:p w:rsidR="00B93AFC" w:rsidRPr="00DD4AFF" w:rsidRDefault="00ED462C" w:rsidP="00BE6A2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фінансово стійкі інститути, що надаватимуть своїм клієнтам більш широкий спектр фінансових послуг та продуктів;</w:t>
      </w:r>
    </w:p>
    <w:p w:rsidR="00B93AFC" w:rsidRPr="00DD4AFF" w:rsidRDefault="00ED462C" w:rsidP="00BE6A2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стимулювання інститутів інфраструктури фондового </w:t>
      </w:r>
      <w:bookmarkStart w:id="8" w:name="297"/>
      <w:bookmarkEnd w:id="8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D4AFF">
        <w:rPr>
          <w:rFonts w:ascii="Times New Roman" w:hAnsi="Times New Roman"/>
          <w:sz w:val="28"/>
          <w:szCs w:val="28"/>
          <w:lang w:val="uk-UA"/>
        </w:rPr>
        <w:t>(організаторів торгівлі, прямих учасників Національної депозитарної системи) до впровадження нових фінансових послуг, фінансових продуктів і інструментів;</w:t>
      </w:r>
    </w:p>
    <w:p w:rsidR="00B93AFC" w:rsidRPr="00DD4AFF" w:rsidRDefault="00ED462C" w:rsidP="00BE6A2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здійснення кроків у напрямку інтеграції з фондовими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ринками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країн Східної Європи, Балтії та країн .ГУУАМ. (Грузія, Узбекистан, Україна</w:t>
      </w:r>
      <w:r w:rsidRPr="00DD4AFF">
        <w:rPr>
          <w:rFonts w:ascii="Times New Roman" w:hAnsi="Times New Roman"/>
          <w:sz w:val="28"/>
          <w:szCs w:val="28"/>
          <w:lang w:val="uk-UA"/>
        </w:rPr>
        <w:t>, Азербайджан, Молдова);</w:t>
      </w:r>
    </w:p>
    <w:p w:rsidR="00B93AFC" w:rsidRPr="00DD4AFF" w:rsidRDefault="00ED462C" w:rsidP="00BE6A2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впорядкування інтеграційних процесів до фондових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ринків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D4AFF">
        <w:rPr>
          <w:rFonts w:ascii="Times New Roman" w:hAnsi="Times New Roman"/>
          <w:sz w:val="28"/>
          <w:szCs w:val="28"/>
          <w:lang w:val="uk-UA"/>
        </w:rPr>
        <w:t>ЄС та Росії на засадах цивілізованості і врахування національних інтересів;</w:t>
      </w:r>
    </w:p>
    <w:p w:rsidR="00ED462C" w:rsidRPr="00DD4AFF" w:rsidRDefault="00ED462C" w:rsidP="00BE6A24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міжнародне співробітництво в рамках IOSCO та інших міжнародних організацій як основа для створення позитивного іміджу українського фондового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>.</w:t>
      </w:r>
    </w:p>
    <w:p w:rsidR="00DD4AFF" w:rsidRDefault="00ED462C" w:rsidP="00BE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Найбільшою проблемою в найближчі роки стане регуляторний арбітраж (різниця між витратами учасників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на дотримання комплексу регулятивних вимог у тій чи іншій країні), пов’язаний з процесом масштабного переміщення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ринків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в офшорні зони для створення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, паралельного внутрішньому. Економічне зростання України багато в чому залежить від зусиль держави і професійних учасників по концентрації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в країні та від здатності мобілізувати фінансові ресурси з метою інвестування в реальний сектор економіки. Важливою складовою державної політики, спрямованої на підвищення конкурентоспроможності 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фондового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України є податкове стимулювання розвитку інфраструктури фондового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професійної діяльності суб’єктів фондового </w:t>
      </w:r>
      <w:bookmarkStart w:id="9" w:name="298"/>
      <w:bookmarkEnd w:id="9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операцій з </w:t>
      </w:r>
      <w:bookmarkStart w:id="10" w:name="299"/>
      <w:bookmarkEnd w:id="10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цінними паперами</w:t>
      </w:r>
      <w:r w:rsidR="005C3C92" w:rsidRPr="00DD4AFF">
        <w:rPr>
          <w:rFonts w:ascii="Times New Roman" w:hAnsi="Times New Roman"/>
          <w:sz w:val="28"/>
          <w:szCs w:val="28"/>
          <w:lang w:val="uk-UA"/>
        </w:rPr>
        <w:t xml:space="preserve"> та доходів по них.</w:t>
      </w:r>
    </w:p>
    <w:p w:rsidR="005C3C92" w:rsidRPr="00DD4AFF" w:rsidRDefault="00ED462C" w:rsidP="00BE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Пріоритетними напрямками розвитку фондового </w:t>
      </w:r>
      <w:bookmarkStart w:id="11" w:name="300"/>
      <w:bookmarkEnd w:id="11"/>
      <w:r w:rsidRPr="00DD4AFF">
        <w:rPr>
          <w:rFonts w:ascii="Times New Roman" w:hAnsi="Times New Roman"/>
          <w:bCs/>
          <w:sz w:val="28"/>
          <w:szCs w:val="28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>, з урахуванням необхідності змін у його податковому регулюванні, вважаємо:</w:t>
      </w:r>
    </w:p>
    <w:p w:rsidR="005C3C92" w:rsidRPr="00DD4AFF" w:rsidRDefault="00ED462C" w:rsidP="00BE6A24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встановлення спеціального порядку ведення податкового обліку фінансових результатів та декларування доходів професійних торговців </w:t>
      </w:r>
      <w:bookmarkStart w:id="12" w:name="301"/>
      <w:bookmarkEnd w:id="12"/>
      <w:r w:rsidRPr="00DD4AFF">
        <w:rPr>
          <w:rFonts w:ascii="Times New Roman" w:hAnsi="Times New Roman"/>
          <w:bCs/>
          <w:sz w:val="28"/>
          <w:szCs w:val="28"/>
          <w:lang w:val="uk-UA"/>
        </w:rPr>
        <w:t>цінними паперами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та прирівняних до них осіб (інституційних інвесторів) від операцій з </w:t>
      </w:r>
      <w:bookmarkStart w:id="13" w:name="302"/>
      <w:bookmarkEnd w:id="13"/>
      <w:r w:rsidRPr="00DD4AFF">
        <w:rPr>
          <w:rFonts w:ascii="Times New Roman" w:hAnsi="Times New Roman"/>
          <w:bCs/>
          <w:sz w:val="28"/>
          <w:szCs w:val="28"/>
          <w:lang w:val="uk-UA"/>
        </w:rPr>
        <w:t>цінними паперами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та деривативами, відмінного від обліку аналогічних операцій та декларування доходів від таких операцій інших суб’єктів фондового </w:t>
      </w:r>
      <w:bookmarkStart w:id="14" w:name="303"/>
      <w:bookmarkEnd w:id="14"/>
      <w:r w:rsidRPr="00DD4AFF">
        <w:rPr>
          <w:rFonts w:ascii="Times New Roman" w:hAnsi="Times New Roman"/>
          <w:bCs/>
          <w:sz w:val="28"/>
          <w:szCs w:val="28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, які не мають статусу торговців </w:t>
      </w:r>
      <w:bookmarkStart w:id="15" w:name="304"/>
      <w:bookmarkEnd w:id="15"/>
      <w:r w:rsidRPr="00DD4AFF">
        <w:rPr>
          <w:rFonts w:ascii="Times New Roman" w:hAnsi="Times New Roman"/>
          <w:bCs/>
          <w:sz w:val="28"/>
          <w:szCs w:val="28"/>
          <w:lang w:val="uk-UA"/>
        </w:rPr>
        <w:t>цінними паперами</w:t>
      </w:r>
      <w:r w:rsidRPr="00DD4AFF">
        <w:rPr>
          <w:rFonts w:ascii="Times New Roman" w:hAnsi="Times New Roman"/>
          <w:sz w:val="28"/>
          <w:szCs w:val="28"/>
          <w:lang w:val="uk-UA"/>
        </w:rPr>
        <w:t>;</w:t>
      </w:r>
    </w:p>
    <w:p w:rsidR="005C3C92" w:rsidRPr="00DD4AFF" w:rsidRDefault="00ED462C" w:rsidP="00BE6A24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звільнення від оподаткування податком на прибуток підприємств та податком на додану вартість некомерційних (неприбуткових) організацій фондового </w:t>
      </w:r>
      <w:bookmarkStart w:id="16" w:name="305"/>
      <w:bookmarkEnd w:id="16"/>
      <w:r w:rsidRPr="00DD4AFF">
        <w:rPr>
          <w:rFonts w:ascii="Times New Roman" w:hAnsi="Times New Roman"/>
          <w:bCs/>
          <w:sz w:val="28"/>
          <w:szCs w:val="28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(організатори торгівлі, Центральний депозитарій, добровільні об’єднання професійних учасників, фонди захисту прав інвесторів тощо), які забезпечують функціонування інфраструктури, діяльність яких спрямована на захист прав і законних інтересів інвесторів та здешевлення обліку та обігу </w:t>
      </w:r>
      <w:bookmarkStart w:id="17" w:name="306"/>
      <w:bookmarkEnd w:id="17"/>
      <w:r w:rsidRPr="00DD4AFF">
        <w:rPr>
          <w:rFonts w:ascii="Times New Roman" w:hAnsi="Times New Roman"/>
          <w:bCs/>
          <w:sz w:val="28"/>
          <w:szCs w:val="28"/>
          <w:lang w:val="uk-UA"/>
        </w:rPr>
        <w:t>цінних паперів</w:t>
      </w:r>
      <w:r w:rsidRPr="00DD4AFF">
        <w:rPr>
          <w:rFonts w:ascii="Times New Roman" w:hAnsi="Times New Roman"/>
          <w:sz w:val="28"/>
          <w:szCs w:val="28"/>
          <w:lang w:val="uk-UA"/>
        </w:rPr>
        <w:t>;</w:t>
      </w:r>
    </w:p>
    <w:p w:rsidR="00ED462C" w:rsidRPr="00DD4AFF" w:rsidRDefault="00ED462C" w:rsidP="00BE6A24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звільнення від оподаткування податком на додану вартість доходів від діяльності на 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фондовому </w:t>
      </w:r>
      <w:bookmarkStart w:id="18" w:name="307"/>
      <w:bookmarkEnd w:id="18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професійних учасників, чий статус встановлено відповідно 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спеціального законодавства, та будь-яких операцій, пов’язаних з обігом </w:t>
      </w:r>
      <w:bookmarkStart w:id="19" w:name="308"/>
      <w:bookmarkEnd w:id="19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цінних паперів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(корпоративних прав) та деривативів.</w:t>
      </w:r>
    </w:p>
    <w:p w:rsidR="00ED462C" w:rsidRPr="00DD4AFF" w:rsidRDefault="005C3C92" w:rsidP="00BE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Для створення ефективної ринкової системи необхідно також встановити ефективні механізми захисту, що стимулюватимуть інвесторів до захисту своїх прав, в тому числі запровадження норми колективного </w:t>
      </w:r>
      <w:r w:rsidR="00ED462C" w:rsidRPr="00DD4AFF">
        <w:rPr>
          <w:rFonts w:ascii="Times New Roman" w:hAnsi="Times New Roman"/>
          <w:sz w:val="28"/>
          <w:szCs w:val="28"/>
          <w:lang w:val="uk-UA"/>
        </w:rPr>
        <w:t>захисту прав та законних інтересів інвесторів можливе тільки за умови об’єднання зусиль законодавчої, виконавчої та судової гілок влади, громадських організацій, засобів масової інформації, емітентів та самих інвесторів. З цією метою пропонуємо:</w:t>
      </w:r>
    </w:p>
    <w:p w:rsidR="005C3C92" w:rsidRPr="00DD4AFF" w:rsidRDefault="00ED462C" w:rsidP="00DD4AFF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привести українське законодавство щодо інвестиційної діяльності у відповідність до законодавства країн ЄС.</w:t>
      </w:r>
    </w:p>
    <w:p w:rsidR="005C3C92" w:rsidRPr="00DD4AFF" w:rsidRDefault="00ED462C" w:rsidP="00DD4AFF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прийняти відповідні зміни та доповнення до цивільно-процесуального та арбітражно-процесуального, валютного, банківського, податкового законодавства, а також законодавства, що регулює фондовий </w:t>
      </w:r>
      <w:r w:rsidR="005C3C92" w:rsidRPr="00DD4AFF">
        <w:rPr>
          <w:rFonts w:ascii="Times New Roman" w:hAnsi="Times New Roman"/>
          <w:sz w:val="28"/>
          <w:szCs w:val="28"/>
          <w:lang w:val="uk-UA"/>
        </w:rPr>
        <w:t>ринок.</w:t>
      </w:r>
    </w:p>
    <w:p w:rsidR="00ED462C" w:rsidRPr="00DD4AFF" w:rsidRDefault="00ED462C" w:rsidP="00DD4A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Для подальшого розвитку інструментів 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фондового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України необхідно:</w:t>
      </w:r>
    </w:p>
    <w:p w:rsidR="005C3C92" w:rsidRPr="00DD4AFF" w:rsidRDefault="00ED462C" w:rsidP="00BE6A24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створення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похідних.</w:t>
      </w:r>
    </w:p>
    <w:p w:rsidR="005C3C92" w:rsidRPr="00DD4AFF" w:rsidRDefault="00ED462C" w:rsidP="00BE6A24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запровадження нових фінансових інструментів через застосування механізму пілотних проектів.</w:t>
      </w:r>
    </w:p>
    <w:p w:rsidR="005C3C92" w:rsidRPr="00DD4AFF" w:rsidRDefault="00ED462C" w:rsidP="00BE6A24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законодавче запровадження системи андерайтингу.</w:t>
      </w:r>
    </w:p>
    <w:p w:rsidR="00ED462C" w:rsidRPr="00DD4AFF" w:rsidRDefault="00ED462C" w:rsidP="00BE6A24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надання місцевим органам влади можливості здійснювати випуск муніципальних облігацій під певні пріоритетні прибуткові програми.</w:t>
      </w:r>
    </w:p>
    <w:p w:rsidR="00ED462C" w:rsidRPr="00DD4AFF" w:rsidRDefault="00ED462C" w:rsidP="00BE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Цілісна інституційна інфраструктура фондового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повинна забезпечити його ефективне функціонування, слугувати національним інтересам, забезпечувати економічну безпеку і суверенітет України. Сьогодні торгова інфраструктура фондового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України, що складається з фондових бірж та інформаційно-торговельних систем, перш за все, обслуговує приватизаційні та постприватизаційні процеси розподілу і перерозподілу корпоративної власності. Фондовий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ринок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України не сприяє ефективному залученню та розподілу капіталу. Як наслідок:</w:t>
      </w:r>
    </w:p>
    <w:p w:rsidR="005C3C92" w:rsidRPr="00DD4AFF" w:rsidRDefault="00ED462C" w:rsidP="00BE6A24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розміри організованого </w:t>
      </w:r>
      <w:bookmarkStart w:id="20" w:name="309"/>
      <w:bookmarkEnd w:id="20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корпоративних </w:t>
      </w:r>
      <w:bookmarkStart w:id="21" w:name="310"/>
      <w:bookmarkEnd w:id="21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цінних паперів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Україні є незначними за обсягами ринкової капіталізації, за кількістю і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обсягами угод з </w:t>
      </w:r>
      <w:bookmarkStart w:id="22" w:name="311"/>
      <w:bookmarkEnd w:id="22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цінними паперами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; неорганізований </w:t>
      </w:r>
      <w:bookmarkStart w:id="23" w:name="312"/>
      <w:bookmarkEnd w:id="23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ринок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значно перевищує організований;</w:t>
      </w:r>
    </w:p>
    <w:p w:rsidR="00ED462C" w:rsidRPr="00DD4AFF" w:rsidRDefault="00ED462C" w:rsidP="00BE6A24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на неорганізованому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переважають угоди з векселями.</w:t>
      </w:r>
    </w:p>
    <w:p w:rsidR="00ED462C" w:rsidRPr="00DD4AFF" w:rsidRDefault="00ED462C" w:rsidP="00BE6A2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Глобальна тенденція розвитку 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фондових</w:t>
      </w:r>
      <w:bookmarkStart w:id="24" w:name="313"/>
      <w:bookmarkEnd w:id="24"/>
      <w:r w:rsidR="00DD4AFF"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ринків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вимагає концентрації торгівлі корпоративними </w:t>
      </w:r>
      <w:bookmarkStart w:id="25" w:name="314"/>
      <w:bookmarkEnd w:id="25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цінними паперами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на організованому </w:t>
      </w:r>
      <w:bookmarkStart w:id="26" w:name="315"/>
      <w:bookmarkEnd w:id="26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</w:t>
      </w:r>
      <w:r w:rsidR="00DD4AFF"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засадах конструктивної конкуренції та інновацій: організатори торгівлі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повинні забезпечити ефективну торговельну платформу разом з фінансовими продуктами, які потрібні клієнтам, та за ціною, яку ці клієнти готові платити. Зважуючи на вищевикладене пріоритетними вважаємо наступні заходи:</w:t>
      </w:r>
    </w:p>
    <w:p w:rsidR="005C3C92" w:rsidRPr="00DD4AFF" w:rsidRDefault="00ED462C" w:rsidP="00BE6A24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забезпечення прозорого ціноутворення, при якому ціни організованого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можуть бути основою для оцінки активів інститутів спільного інвестування і для цілей оподаткування;</w:t>
      </w:r>
    </w:p>
    <w:p w:rsidR="005C3C92" w:rsidRPr="00DD4AFF" w:rsidRDefault="00ED462C" w:rsidP="00BE6A24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створення через державне регулювання та саморегулювання професійних учасників ефективної системи контролю за торгівлею за участю афілійованих осіб;</w:t>
      </w:r>
    </w:p>
    <w:p w:rsidR="005C3C92" w:rsidRPr="00DD4AFF" w:rsidRDefault="00ED462C" w:rsidP="00BE6A24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встановлення обов’язковості укладання угод з великими пакетами </w:t>
      </w:r>
      <w:bookmarkStart w:id="27" w:name="316"/>
      <w:bookmarkEnd w:id="27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цінних паперів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українських емітентів на організованих </w:t>
      </w:r>
      <w:bookmarkStart w:id="28" w:name="317"/>
      <w:bookmarkEnd w:id="28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ринках</w:t>
      </w:r>
      <w:r w:rsidRPr="00DD4AFF">
        <w:rPr>
          <w:rFonts w:ascii="Times New Roman" w:hAnsi="Times New Roman"/>
          <w:sz w:val="28"/>
          <w:szCs w:val="28"/>
          <w:lang w:val="uk-UA"/>
        </w:rPr>
        <w:t>;</w:t>
      </w:r>
    </w:p>
    <w:p w:rsidR="005C3C92" w:rsidRPr="00DD4AFF" w:rsidRDefault="00ED462C" w:rsidP="00BE6A24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створення рівних умов вторинного обігу однотипних фінансових інструментів у різних організаторів торгівлі;</w:t>
      </w:r>
    </w:p>
    <w:p w:rsidR="005C3C92" w:rsidRPr="00DD4AFF" w:rsidRDefault="00ED462C" w:rsidP="00BE6A24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створення умов для торгівлі на організованому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D4AFF">
        <w:rPr>
          <w:rFonts w:ascii="Times New Roman" w:hAnsi="Times New Roman"/>
          <w:sz w:val="28"/>
          <w:szCs w:val="28"/>
          <w:lang w:val="uk-UA"/>
        </w:rPr>
        <w:t>акціями молодих компаній росту (венчурних компаній);</w:t>
      </w:r>
    </w:p>
    <w:p w:rsidR="005C3C92" w:rsidRPr="00DD4AFF" w:rsidRDefault="00ED462C" w:rsidP="00BE6A24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створення умов для торгівлі на організованих </w:t>
      </w:r>
      <w:bookmarkStart w:id="29" w:name="318"/>
      <w:bookmarkEnd w:id="29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ринках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іноземними </w:t>
      </w:r>
      <w:bookmarkStart w:id="30" w:name="319"/>
      <w:bookmarkEnd w:id="30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цінними паперами</w:t>
      </w:r>
      <w:r w:rsidRPr="00DD4AFF">
        <w:rPr>
          <w:rFonts w:ascii="Times New Roman" w:hAnsi="Times New Roman"/>
          <w:sz w:val="28"/>
          <w:szCs w:val="28"/>
          <w:lang w:val="uk-UA"/>
        </w:rPr>
        <w:t>;</w:t>
      </w:r>
    </w:p>
    <w:p w:rsidR="005C3C92" w:rsidRPr="00DD4AFF" w:rsidRDefault="00ED462C" w:rsidP="00BE6A24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запровадження заходів для розміщення українськими емітентами </w:t>
      </w:r>
      <w:bookmarkStart w:id="31" w:name="320"/>
      <w:bookmarkEnd w:id="31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цінних паперів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 на організованих </w:t>
      </w:r>
      <w:bookmarkStart w:id="32" w:name="321"/>
      <w:bookmarkEnd w:id="32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ринках</w:t>
      </w:r>
      <w:r w:rsidRPr="00DD4AFF">
        <w:rPr>
          <w:rFonts w:ascii="Times New Roman" w:hAnsi="Times New Roman"/>
          <w:sz w:val="28"/>
          <w:szCs w:val="28"/>
          <w:lang w:val="uk-UA"/>
        </w:rPr>
        <w:t>.</w:t>
      </w:r>
    </w:p>
    <w:p w:rsidR="005C3C92" w:rsidRPr="00DD4AFF" w:rsidRDefault="00ED462C" w:rsidP="00BE6A24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розвиток технологій торгівлі похідними на організованих </w:t>
      </w:r>
      <w:bookmarkStart w:id="33" w:name="322"/>
      <w:bookmarkEnd w:id="33"/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ринках</w:t>
      </w:r>
      <w:r w:rsidRPr="00DD4AFF">
        <w:rPr>
          <w:rFonts w:ascii="Times New Roman" w:hAnsi="Times New Roman"/>
          <w:sz w:val="28"/>
          <w:szCs w:val="28"/>
          <w:lang w:val="uk-UA"/>
        </w:rPr>
        <w:t>;</w:t>
      </w:r>
    </w:p>
    <w:p w:rsidR="005C3C92" w:rsidRPr="00DD4AFF" w:rsidRDefault="00ED462C" w:rsidP="00BE6A24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здійснення організаторами торгівлі розрахунково-клірингової діяльності з похідними;</w:t>
      </w:r>
    </w:p>
    <w:p w:rsidR="00ED462C" w:rsidRPr="00DD4AFF" w:rsidRDefault="00ED462C" w:rsidP="00BE6A24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 xml:space="preserve">впровадження електронного документообігу при укладанні та виконанні угод з 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корпоративними</w:t>
      </w:r>
      <w:bookmarkStart w:id="34" w:name="323"/>
      <w:bookmarkEnd w:id="34"/>
      <w:r w:rsidR="005C3C92"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цінними паперами</w:t>
      </w:r>
      <w:r w:rsidRPr="00DD4AFF">
        <w:rPr>
          <w:rFonts w:ascii="Times New Roman" w:hAnsi="Times New Roman"/>
          <w:sz w:val="28"/>
          <w:szCs w:val="28"/>
          <w:lang w:val="uk-UA"/>
        </w:rPr>
        <w:t xml:space="preserve">, прийняття єдиних стандартів та сертифікації систем електронного цифрового підпису та шифруванні даних, придатних для використання у будь-яких технічних та технологічних системах, які будуть підтримувати функціонування інфраструктури фондового </w:t>
      </w:r>
      <w:r w:rsidRPr="00BE6A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ринку</w:t>
      </w:r>
      <w:r w:rsidRPr="00BE6A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D4AFF">
        <w:rPr>
          <w:rFonts w:ascii="Times New Roman" w:hAnsi="Times New Roman"/>
          <w:sz w:val="28"/>
          <w:szCs w:val="28"/>
          <w:lang w:val="uk-UA"/>
        </w:rPr>
        <w:t>України.</w:t>
      </w:r>
    </w:p>
    <w:p w:rsidR="00844304" w:rsidRPr="00DD4AFF" w:rsidRDefault="00844304" w:rsidP="00DD4A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D4AFF" w:rsidRDefault="00DD4AF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DD4AFF" w:rsidRDefault="00DD4AFF" w:rsidP="00DD4A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DD4AF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исновки</w:t>
      </w:r>
    </w:p>
    <w:p w:rsidR="00DD4AFF" w:rsidRDefault="00DD4AFF" w:rsidP="00DD4A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DD4AFF" w:rsidRDefault="003B1314" w:rsidP="00DD4A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>З переходом України на ринковий шлях розвитку, інтеграцією у світове економічне співтовариство та з метою участі у міжнародних інтеграційних процесах виникла необхідність формування макросистем ринкової економіки в складних, суперечливих умовах непристосованих до ринку елементів колишньої соціалістичної економіки. Тому надзвичайно актуальним на сьогоднішній день є визначення проблем українського ринку цінних паперів та шляхів його поновлення і подальшого розвитку.</w:t>
      </w:r>
    </w:p>
    <w:p w:rsidR="00DD4AFF" w:rsidRDefault="005C3C92" w:rsidP="00DD4A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>Ц</w:t>
      </w:r>
      <w:r w:rsidR="003B1314"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інний папір - така форма існування капіталу, яка може передаватися замість нього самого, обертатися на ринку як товар і приносити дохід; це документ, що </w:t>
      </w:r>
      <w:r w:rsidR="00DD4AFF"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>засвідчує</w:t>
      </w:r>
      <w:r w:rsidR="003B1314"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майнові права, ринок цінних паперів - це сукупність економічних відносин з приводу випуску і обігу цінних паперів між його учасниками.</w:t>
      </w:r>
      <w:r w:rsidR="00ED462C"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</w:t>
      </w:r>
      <w:r w:rsidR="003B1314"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>ух курсів акцій українських емітентів часто не тільки не зумовлений фундаментальними мікроекономічними чинниками, а й відбувається в напрямку, що суперечить економічним передумовам.</w:t>
      </w:r>
    </w:p>
    <w:p w:rsidR="003B1314" w:rsidRPr="00DD4AFF" w:rsidRDefault="003B1314" w:rsidP="00DD4A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D4AFF">
        <w:rPr>
          <w:rFonts w:ascii="Times New Roman" w:hAnsi="Times New Roman" w:cs="Times New Roman"/>
          <w:color w:val="auto"/>
          <w:sz w:val="28"/>
          <w:szCs w:val="28"/>
          <w:lang w:val="uk-UA"/>
        </w:rPr>
        <w:t>Отже, для успішного вдосконалення ринку необхідне: по-перше підвищити довіру до ринку цінних паперів, по-друге необхідно удосконалити законодавчо-правову базу, по-третє необхідна така політика, яка б дозволила в короткі терміни завершити процес приватизації, оскільки з досвіду розвинених країн видно, що акції АТ виконують велику роль на ринку цінних паперів. У нашій же країні провідна роль належить державним цінним паперам. Є ще один істотний момент - український ринок цінних паперів відчуває серйозний брак капіталовкладень і є проблема із залученням іноземного капіталу, і як вже було відмічено причиною цього є політико-економічний стан країни. І н е дивлячись на всі зусилля Уряду і Міністерства фінансів, і банків український ринок ще далекий від світових стандартів, тому що вся група негативних чинників ще робить значний вплив на його розвиток . Поновлення українського фондового ринку безпосередньо залежить від того, наскільки швидко буде поновлено довіру вітчизняних та закордонних інвесторів до українських цінних паперів.</w:t>
      </w:r>
    </w:p>
    <w:p w:rsidR="00ED462C" w:rsidRPr="00DD4AFF" w:rsidRDefault="00ED462C" w:rsidP="00DD4A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D4AFF" w:rsidRDefault="00DD4AF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ED462C" w:rsidRPr="00DD4AFF" w:rsidRDefault="00ED462C" w:rsidP="00DD4AFF">
      <w:pPr>
        <w:pStyle w:val="4"/>
        <w:spacing w:line="360" w:lineRule="auto"/>
        <w:ind w:firstLine="709"/>
      </w:pPr>
      <w:r w:rsidRPr="00DD4AFF">
        <w:t>В</w:t>
      </w:r>
      <w:r w:rsidR="00DD4AFF">
        <w:rPr>
          <w:lang w:val="ru-RU"/>
        </w:rPr>
        <w:t>икористана л</w:t>
      </w:r>
      <w:r w:rsidR="00DD4AFF">
        <w:t>ітература</w:t>
      </w:r>
    </w:p>
    <w:p w:rsidR="00ED462C" w:rsidRPr="00DD4AFF" w:rsidRDefault="00ED462C" w:rsidP="00DD4A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462C" w:rsidRPr="00DD4AFF" w:rsidRDefault="00ED462C" w:rsidP="00DD4AF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Колесник В.В. Ринок цінних паперів і принципи правового регулювання. Київ, 1993 р.</w:t>
      </w:r>
    </w:p>
    <w:p w:rsidR="00ED462C" w:rsidRPr="00DD4AFF" w:rsidRDefault="00ED462C" w:rsidP="00DD4AF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В.В.Оскольський. Фондовий ринок України. Київ, УФБ - «Скарбниця», 1994 р.</w:t>
      </w:r>
    </w:p>
    <w:p w:rsidR="00ED462C" w:rsidRPr="00DD4AFF" w:rsidRDefault="00ED462C" w:rsidP="00DD4AF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Закон України «Про цінні папери і фондову біржу (1991)» Мінфін України № 04-305 від 30.09.1991 р.</w:t>
      </w:r>
    </w:p>
    <w:p w:rsidR="00ED462C" w:rsidRPr="00DD4AFF" w:rsidRDefault="00ED462C" w:rsidP="00DD4AF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Цінні папери в Україні. Київ, УФБ, 1993 р.</w:t>
      </w:r>
    </w:p>
    <w:p w:rsidR="00ED462C" w:rsidRPr="00DD4AFF" w:rsidRDefault="00ED462C" w:rsidP="00DD4AF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Алексеев Ю.И. Рынок ценных бумаг. Москва, 1992 г.</w:t>
      </w:r>
    </w:p>
    <w:p w:rsidR="00ED462C" w:rsidRPr="00DD4AFF" w:rsidRDefault="00ED462C" w:rsidP="00DD4AF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Постанова Кабміну від 29.04.1994 р. № 277 «Концепція функціонування і розвитку фондового ринку в Україні».</w:t>
      </w:r>
    </w:p>
    <w:p w:rsidR="00ED462C" w:rsidRPr="00DD4AFF" w:rsidRDefault="00ED462C" w:rsidP="00DD4AF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В.М.Опарін. Фінанси. Київ, 1999 р.</w:t>
      </w:r>
    </w:p>
    <w:p w:rsidR="00ED462C" w:rsidRPr="00DD4AFF" w:rsidRDefault="00ED462C" w:rsidP="00DD4AF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D4AFF">
        <w:rPr>
          <w:rFonts w:ascii="Times New Roman" w:hAnsi="Times New Roman"/>
          <w:sz w:val="28"/>
          <w:szCs w:val="28"/>
          <w:lang w:val="uk-UA"/>
        </w:rPr>
        <w:t>Мозговой О.Н. Фондовый рынок Украины. Киев, ФЕНИКС, 1997 г.</w:t>
      </w:r>
      <w:bookmarkStart w:id="35" w:name="_GoBack"/>
      <w:bookmarkEnd w:id="35"/>
    </w:p>
    <w:sectPr w:rsidR="00ED462C" w:rsidRPr="00DD4AFF" w:rsidSect="00DD4AFF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3A" w:rsidRDefault="0094003A" w:rsidP="005C3C92">
      <w:pPr>
        <w:spacing w:after="0" w:line="240" w:lineRule="auto"/>
      </w:pPr>
      <w:r>
        <w:separator/>
      </w:r>
    </w:p>
  </w:endnote>
  <w:endnote w:type="continuationSeparator" w:id="0">
    <w:p w:rsidR="0094003A" w:rsidRDefault="0094003A" w:rsidP="005C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3A" w:rsidRDefault="0094003A" w:rsidP="005C3C92">
      <w:pPr>
        <w:spacing w:after="0" w:line="240" w:lineRule="auto"/>
      </w:pPr>
      <w:r>
        <w:separator/>
      </w:r>
    </w:p>
  </w:footnote>
  <w:footnote w:type="continuationSeparator" w:id="0">
    <w:p w:rsidR="0094003A" w:rsidRDefault="0094003A" w:rsidP="005C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85D0446"/>
    <w:multiLevelType w:val="hybridMultilevel"/>
    <w:tmpl w:val="2BF83F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6AE"/>
    <w:multiLevelType w:val="hybridMultilevel"/>
    <w:tmpl w:val="7B3640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12599"/>
    <w:multiLevelType w:val="hybridMultilevel"/>
    <w:tmpl w:val="208C0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B7EFC"/>
    <w:multiLevelType w:val="hybridMultilevel"/>
    <w:tmpl w:val="D702D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F1915"/>
    <w:multiLevelType w:val="hybridMultilevel"/>
    <w:tmpl w:val="BDE239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04011"/>
    <w:multiLevelType w:val="hybridMultilevel"/>
    <w:tmpl w:val="1EB43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40AB4"/>
    <w:multiLevelType w:val="hybridMultilevel"/>
    <w:tmpl w:val="A6DCE8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A5DB1"/>
    <w:multiLevelType w:val="hybridMultilevel"/>
    <w:tmpl w:val="1C8A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2A4A60"/>
    <w:multiLevelType w:val="singleLevel"/>
    <w:tmpl w:val="E15C394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8"/>
  </w:num>
  <w:num w:numId="2">
    <w:abstractNumId w:val="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314"/>
    <w:rsid w:val="001E6679"/>
    <w:rsid w:val="0027462C"/>
    <w:rsid w:val="003267C0"/>
    <w:rsid w:val="003B1314"/>
    <w:rsid w:val="005C3C92"/>
    <w:rsid w:val="00795016"/>
    <w:rsid w:val="00796A00"/>
    <w:rsid w:val="00823AE9"/>
    <w:rsid w:val="00844304"/>
    <w:rsid w:val="0094003A"/>
    <w:rsid w:val="009911DD"/>
    <w:rsid w:val="00A6713C"/>
    <w:rsid w:val="00B928BF"/>
    <w:rsid w:val="00B93AFC"/>
    <w:rsid w:val="00BE6A24"/>
    <w:rsid w:val="00C442E7"/>
    <w:rsid w:val="00DD4AFF"/>
    <w:rsid w:val="00ED462C"/>
    <w:rsid w:val="00F0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CEFA00C-9603-491A-8E2D-86602BE3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DD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ED462C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D462C"/>
    <w:rPr>
      <w:rFonts w:ascii="Times New Roman" w:hAnsi="Times New Roman" w:cs="Times New Roman"/>
      <w:b/>
      <w:bCs/>
      <w:sz w:val="28"/>
      <w:szCs w:val="28"/>
      <w:lang w:val="uk-UA" w:eastAsia="x-none"/>
    </w:rPr>
  </w:style>
  <w:style w:type="paragraph" w:styleId="a3">
    <w:name w:val="Normal (Web)"/>
    <w:basedOn w:val="a"/>
    <w:uiPriority w:val="99"/>
    <w:unhideWhenUsed/>
    <w:rsid w:val="003B1314"/>
    <w:pPr>
      <w:spacing w:before="100" w:beforeAutospacing="1" w:after="100" w:afterAutospacing="1" w:line="240" w:lineRule="atLeast"/>
      <w:ind w:firstLine="567"/>
      <w:jc w:val="both"/>
    </w:pPr>
    <w:rPr>
      <w:rFonts w:ascii="Tahoma" w:hAnsi="Tahoma" w:cs="Tahoma"/>
      <w:color w:val="000022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D46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3AFC"/>
    <w:pPr>
      <w:ind w:left="720"/>
      <w:contextualSpacing/>
    </w:pPr>
  </w:style>
  <w:style w:type="character" w:customStyle="1" w:styleId="a5">
    <w:name w:val="Текст у виносці Знак"/>
    <w:link w:val="a4"/>
    <w:uiPriority w:val="99"/>
    <w:semiHidden/>
    <w:locked/>
    <w:rsid w:val="00ED46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C3C9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5C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link w:val="a7"/>
    <w:uiPriority w:val="99"/>
    <w:semiHidden/>
    <w:locked/>
    <w:rsid w:val="005C3C92"/>
    <w:rPr>
      <w:rFonts w:cs="Times New Roman"/>
    </w:rPr>
  </w:style>
  <w:style w:type="paragraph" w:styleId="ab">
    <w:name w:val="No Spacing"/>
    <w:link w:val="ac"/>
    <w:uiPriority w:val="1"/>
    <w:qFormat/>
    <w:rsid w:val="005C3C92"/>
    <w:rPr>
      <w:sz w:val="22"/>
      <w:szCs w:val="22"/>
      <w:lang w:eastAsia="en-US"/>
    </w:rPr>
  </w:style>
  <w:style w:type="character" w:customStyle="1" w:styleId="aa">
    <w:name w:val="Нижній колонтитул Знак"/>
    <w:link w:val="a9"/>
    <w:uiPriority w:val="99"/>
    <w:locked/>
    <w:rsid w:val="005C3C92"/>
    <w:rPr>
      <w:rFonts w:cs="Times New Roman"/>
    </w:rPr>
  </w:style>
  <w:style w:type="character" w:customStyle="1" w:styleId="ac">
    <w:name w:val="Без інтервалів Знак"/>
    <w:link w:val="ab"/>
    <w:uiPriority w:val="1"/>
    <w:locked/>
    <w:rsid w:val="005C3C92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2489">
              <w:marLeft w:val="30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CE8C-A8CF-4009-8E92-C2016247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2133</Words>
  <Characters>12161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Irina</cp:lastModifiedBy>
  <cp:revision>2</cp:revision>
  <dcterms:created xsi:type="dcterms:W3CDTF">2014-08-15T14:52:00Z</dcterms:created>
  <dcterms:modified xsi:type="dcterms:W3CDTF">2014-08-15T14:52:00Z</dcterms:modified>
</cp:coreProperties>
</file>