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65" w:rsidRDefault="006D4965">
      <w:pPr>
        <w:jc w:val="center"/>
        <w:rPr>
          <w:rFonts w:ascii="Arial" w:hAnsi="Arial"/>
          <w:b/>
          <w:caps/>
          <w:sz w:val="32"/>
          <w:u w:val="single"/>
        </w:rPr>
      </w:pPr>
    </w:p>
    <w:p w:rsidR="006D4965" w:rsidRDefault="006D4965">
      <w:pPr>
        <w:jc w:val="center"/>
        <w:rPr>
          <w:rFonts w:ascii="Arial" w:hAnsi="Arial"/>
          <w:b/>
          <w:caps/>
          <w:sz w:val="32"/>
          <w:u w:val="single"/>
        </w:rPr>
      </w:pPr>
      <w:r>
        <w:rPr>
          <w:rFonts w:ascii="Arial" w:hAnsi="Arial"/>
          <w:b/>
          <w:caps/>
          <w:sz w:val="32"/>
          <w:u w:val="single"/>
        </w:rPr>
        <w:t>8. ЭКОНОМИКА</w:t>
      </w:r>
    </w:p>
    <w:p w:rsidR="006D4965" w:rsidRDefault="006D4965">
      <w:pPr>
        <w:jc w:val="center"/>
        <w:rPr>
          <w:rFonts w:ascii="Arial" w:hAnsi="Arial"/>
          <w:b/>
          <w:caps/>
          <w:sz w:val="32"/>
          <w:u w:val="single"/>
        </w:rPr>
      </w:pPr>
    </w:p>
    <w:p w:rsidR="006D4965" w:rsidRDefault="006D4965">
      <w:pPr>
        <w:jc w:val="center"/>
        <w:rPr>
          <w:rFonts w:ascii="Arial" w:hAnsi="Arial"/>
          <w:b/>
          <w:caps/>
          <w:sz w:val="32"/>
          <w:u w:val="single"/>
        </w:rPr>
      </w:pPr>
      <w:r>
        <w:rPr>
          <w:rFonts w:ascii="Arial" w:hAnsi="Arial"/>
          <w:b/>
          <w:caps/>
          <w:sz w:val="32"/>
          <w:u w:val="single"/>
        </w:rPr>
        <w:t>8.1. Организация и планирование ОКР.</w:t>
      </w:r>
    </w:p>
    <w:p w:rsidR="006D4965" w:rsidRDefault="006D4965">
      <w:pPr>
        <w:spacing w:before="360"/>
        <w:ind w:firstLine="629"/>
        <w:jc w:val="both"/>
        <w:rPr>
          <w:rFonts w:ascii="Arial" w:hAnsi="Arial"/>
          <w:sz w:val="24"/>
        </w:rPr>
      </w:pP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Разработка принципиальной электрической схемы, конструкции печатной платы и полосковых плат выполняется секторами, которые входят в состав научно-исследовательского отделения. Для обеспечения ОКР различной информацией в состав предприятия входят отделы технической документации, технической информации и бюро отраслевых стандартов.</w:t>
      </w:r>
    </w:p>
    <w:p w:rsidR="006D4965" w:rsidRDefault="006D4965">
      <w:pPr>
        <w:pStyle w:val="2"/>
        <w:spacing w:line="360" w:lineRule="auto"/>
        <w:rPr>
          <w:sz w:val="28"/>
        </w:rPr>
      </w:pPr>
      <w:r>
        <w:rPr>
          <w:sz w:val="28"/>
        </w:rPr>
        <w:t xml:space="preserve">Изготовление макета данного изделия осуществляется в секторе разработчиков ГосЦНИРТИ. Все работы по НИОКР выполняются в едином хозяйственном подразделении без привлечения контрагентов. Изделие изготавливается на опытном производстве при ГосЦНИРТИ в количестве 1 штуки (единичное производство). Общее руководство разработкой осуществляет главный конструктор.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После проведения испытаний опытного образца весь комплект конструкторской документации передается на завод изготовитель. Организационно ОКР регламентирует ГОСТ 3.102-92, который определяет следующие этапы ОКР: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Техническое задание.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Техническое предложение.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 Эскизный проект.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 Технический проект.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 Рабочий проект</w:t>
      </w:r>
    </w:p>
    <w:p w:rsidR="006D4965" w:rsidRDefault="006D4965">
      <w:pPr>
        <w:spacing w:before="120"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Подробный перечень этапов для нашего блока представлен в таблице 8.1. </w:t>
      </w:r>
    </w:p>
    <w:p w:rsidR="006D4965" w:rsidRDefault="006D4965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ходе организации и планирования ОКР решаются следующие задачи: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Уложиться в директивный срок(для данной разработки t</w:t>
      </w:r>
      <w:r>
        <w:rPr>
          <w:rFonts w:ascii="Arial" w:hAnsi="Arial"/>
          <w:sz w:val="28"/>
          <w:vertAlign w:val="subscript"/>
        </w:rPr>
        <w:t>дир</w:t>
      </w:r>
      <w:r>
        <w:rPr>
          <w:rFonts w:ascii="Arial" w:hAnsi="Arial"/>
          <w:sz w:val="28"/>
        </w:rPr>
        <w:t>= 130 дней).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Оптимально распределить ресурсы.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 Рассчитать трудоемкость, как один из основных параметров, так как она определяет затраты на изделие.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Эти задачи будем решать с применением системы СПУ. Основным документом сетевого планирования и управления является сетевой график. Расчет параметров сетевого графика варьируется в зависимости от метода определения трудоемкости. Расчет продолжительности работ в графике ведется с учетом данных на основе следующих документов: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1."Нормативы трудовых затрат ИТР на разработку аппаратуры по тематике КО".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2."Нормативы трудовых затрат ИТР на разработку аппаратуры по требованиям НИО-9".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При отсутствии нормативных значений применяется экспертный метод оценки продолжительности работ. При этом используются две, задаваемые экспертами, оценки t</w:t>
      </w:r>
      <w:r>
        <w:rPr>
          <w:rFonts w:ascii="Arial" w:hAnsi="Arial"/>
          <w:sz w:val="28"/>
          <w:vertAlign w:val="subscript"/>
        </w:rPr>
        <w:t>min</w:t>
      </w:r>
      <w:r>
        <w:rPr>
          <w:rFonts w:ascii="Arial" w:hAnsi="Arial"/>
          <w:sz w:val="28"/>
        </w:rPr>
        <w:t xml:space="preserve"> и t</w:t>
      </w:r>
      <w:r>
        <w:rPr>
          <w:rFonts w:ascii="Arial" w:hAnsi="Arial"/>
          <w:sz w:val="28"/>
          <w:vertAlign w:val="subscript"/>
        </w:rPr>
        <w:t>max</w:t>
      </w:r>
      <w:r>
        <w:rPr>
          <w:rFonts w:ascii="Arial" w:hAnsi="Arial"/>
          <w:sz w:val="28"/>
        </w:rPr>
        <w:t xml:space="preserve"> (время, необходимое для выполнения работы при благоприятных и неблагоприятных условиях соответственно). На основе этих оценок определяются ожидаемое время выполнения работы t</w:t>
      </w:r>
      <w:r>
        <w:rPr>
          <w:rFonts w:ascii="Arial" w:hAnsi="Arial"/>
          <w:sz w:val="28"/>
          <w:vertAlign w:val="subscript"/>
        </w:rPr>
        <w:t>ож</w:t>
      </w:r>
      <w:r>
        <w:rPr>
          <w:rFonts w:ascii="Arial" w:hAnsi="Arial"/>
          <w:sz w:val="28"/>
        </w:rPr>
        <w:t>:</w:t>
      </w:r>
    </w:p>
    <w:p w:rsidR="006D4965" w:rsidRDefault="006D4965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</w:t>
      </w:r>
      <w:r>
        <w:rPr>
          <w:rFonts w:ascii="Arial" w:hAnsi="Arial"/>
          <w:sz w:val="28"/>
          <w:vertAlign w:val="subscript"/>
        </w:rPr>
        <w:t>ож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position w:val="-24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3.75pt" o:ole="" fillcolor="window">
            <v:imagedata r:id="rId5" o:title=""/>
          </v:shape>
          <o:OLEObject Type="Embed" ProgID="Equation.3" ShapeID="_x0000_i1025" DrawAspect="Content" ObjectID="_1461946464" r:id="rId6"/>
        </w:objec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Величина t</w:t>
      </w:r>
      <w:r>
        <w:rPr>
          <w:rFonts w:ascii="Arial" w:hAnsi="Arial"/>
          <w:sz w:val="28"/>
          <w:vertAlign w:val="subscript"/>
        </w:rPr>
        <w:t>ож</w:t>
      </w:r>
      <w:r>
        <w:rPr>
          <w:rFonts w:ascii="Arial" w:hAnsi="Arial"/>
          <w:sz w:val="28"/>
        </w:rPr>
        <w:t xml:space="preserve"> представляет собой математическое ожидание случайной величины, которой в данном случае является продолжительность работ. Дисперсия продолжительности работ определяет квадрат отклонения случайной величины от ее математического ожидания и определяется по формуле:</w:t>
      </w:r>
    </w:p>
    <w:p w:rsidR="006D4965" w:rsidRDefault="006D4965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sym w:font="Symbol" w:char="F064"/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position w:val="-10"/>
        </w:rPr>
        <w:object w:dxaOrig="2060" w:dyaOrig="360">
          <v:shape id="_x0000_i1026" type="#_x0000_t75" style="width:126.75pt;height:21.75pt" o:ole="" fillcolor="window">
            <v:imagedata r:id="rId7" o:title=""/>
          </v:shape>
          <o:OLEObject Type="Embed" ProgID="Equation.3" ShapeID="_x0000_i1026" DrawAspect="Content" ObjectID="_1461946465" r:id="rId8"/>
        </w:object>
      </w:r>
    </w:p>
    <w:p w:rsidR="006D4965" w:rsidRDefault="006D4965">
      <w:pPr>
        <w:spacing w:before="120" w:line="360" w:lineRule="auto"/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>Трудоемкость работы определяется по формуле:</w:t>
      </w:r>
    </w:p>
    <w:p w:rsidR="006D4965" w:rsidRDefault="006D4965">
      <w:pPr>
        <w:spacing w:before="120"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T</w:t>
      </w:r>
      <w:r>
        <w:rPr>
          <w:rFonts w:ascii="Arial" w:hAnsi="Arial"/>
          <w:sz w:val="28"/>
          <w:vertAlign w:val="subscript"/>
        </w:rPr>
        <w:t>p</w:t>
      </w:r>
      <w:r>
        <w:rPr>
          <w:rFonts w:ascii="Arial" w:hAnsi="Arial"/>
          <w:sz w:val="28"/>
        </w:rPr>
        <w:t xml:space="preserve"> = t</w:t>
      </w:r>
      <w:r>
        <w:rPr>
          <w:rFonts w:ascii="Arial" w:hAnsi="Arial"/>
          <w:sz w:val="28"/>
          <w:vertAlign w:val="subscript"/>
        </w:rPr>
        <w:t>ож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 N</w:t>
      </w:r>
      <w:r>
        <w:rPr>
          <w:rFonts w:ascii="Arial" w:hAnsi="Arial"/>
          <w:sz w:val="28"/>
          <w:vertAlign w:val="subscript"/>
        </w:rPr>
        <w:t>исп</w:t>
      </w:r>
      <w:r>
        <w:rPr>
          <w:rFonts w:ascii="Arial" w:hAnsi="Arial"/>
          <w:sz w:val="28"/>
        </w:rPr>
        <w:t>,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где N</w:t>
      </w:r>
      <w:r>
        <w:rPr>
          <w:rFonts w:ascii="Arial" w:hAnsi="Arial"/>
          <w:sz w:val="28"/>
          <w:vertAlign w:val="subscript"/>
        </w:rPr>
        <w:t>исп</w:t>
      </w:r>
      <w:r>
        <w:rPr>
          <w:rFonts w:ascii="Arial" w:hAnsi="Arial"/>
          <w:sz w:val="28"/>
        </w:rPr>
        <w:t xml:space="preserve"> - количество исполнителей данной работы.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 значений дисперсии отдельных работ зависит неопределенность срока окончания проекта в целом. Основными параметрами сетевого графика являются: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1. Величина критического пути.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2. Резервы времени событий.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3. Резервы времени работ.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Эти параметры являются исходными данными для анализа сетевого графика и его оптимизации. Резерв времени событий рассчитывается по формуле:</w:t>
      </w:r>
    </w:p>
    <w:p w:rsidR="006D4965" w:rsidRDefault="006D4965">
      <w:pPr>
        <w:spacing w:before="120" w:line="360" w:lineRule="auto"/>
        <w:ind w:firstLine="141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Ri = Tni</w:t>
      </w:r>
      <w:r>
        <w:rPr>
          <w:rFonts w:ascii="Arial" w:hAnsi="Arial"/>
          <w:sz w:val="28"/>
          <w:vertAlign w:val="subscript"/>
        </w:rPr>
        <w:t xml:space="preserve"> </w:t>
      </w:r>
      <w:r>
        <w:rPr>
          <w:rFonts w:ascii="Arial" w:hAnsi="Arial"/>
          <w:sz w:val="28"/>
        </w:rPr>
        <w:t>-Tpi ,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Tni - поздний срок наступления события i. </w:t>
      </w:r>
    </w:p>
    <w:p w:rsidR="006D4965" w:rsidRDefault="006D4965">
      <w:pPr>
        <w:spacing w:line="360" w:lineRule="auto"/>
        <w:ind w:firstLine="99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Tpi - ранний срок наступления события i.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Критический путь образуется из последовательных работ, проходящих через события, имеющие нулевые резервы времени: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1-2,2-3,3-6,6-7,7-8,8-9,9-10,10-11,11-12,12-13,13-14,14-15,15-16,16-17,17-18,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18-19,19-20,20-21.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Продолжительность критического пути равна 121 дням. 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Так как Ткр= 121&lt;Тдир= 130, делаем вывод, что модель выбрана правильно.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Резервы времени работ рассчитываются по формулам: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  <w:vertAlign w:val="subscript"/>
        </w:rPr>
      </w:pPr>
      <w:r>
        <w:rPr>
          <w:rFonts w:ascii="Arial" w:hAnsi="Arial"/>
          <w:sz w:val="28"/>
        </w:rPr>
        <w:t xml:space="preserve">Полный резерв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Rnij = Тni - Тpi - t</w:t>
      </w:r>
      <w:r>
        <w:rPr>
          <w:rFonts w:ascii="Arial" w:hAnsi="Arial"/>
          <w:sz w:val="28"/>
          <w:vertAlign w:val="subscript"/>
        </w:rPr>
        <w:t>ij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Свободный резерв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Rcij = Тpj - Тpi - t</w:t>
      </w:r>
      <w:r>
        <w:rPr>
          <w:rFonts w:ascii="Arial" w:hAnsi="Arial"/>
          <w:sz w:val="28"/>
          <w:vertAlign w:val="subscript"/>
        </w:rPr>
        <w:t>ij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Параметры сетевого графика рассчитываются по следующим формулам:</w:t>
      </w:r>
    </w:p>
    <w:p w:rsidR="006D4965" w:rsidRDefault="006D4965">
      <w:pPr>
        <w:spacing w:line="360" w:lineRule="auto"/>
        <w:ind w:firstLine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Трн</w:t>
      </w:r>
      <w:r>
        <w:rPr>
          <w:rFonts w:ascii="Arial" w:hAnsi="Arial"/>
          <w:sz w:val="28"/>
          <w:vertAlign w:val="subscript"/>
        </w:rPr>
        <w:t>ij</w:t>
      </w:r>
      <w:r>
        <w:rPr>
          <w:rFonts w:ascii="Arial" w:hAnsi="Arial"/>
          <w:sz w:val="28"/>
        </w:rPr>
        <w:t xml:space="preserve"> = Трi </w:t>
      </w:r>
    </w:p>
    <w:p w:rsidR="006D4965" w:rsidRDefault="006D4965">
      <w:pPr>
        <w:spacing w:line="360" w:lineRule="auto"/>
        <w:ind w:firstLine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Тпн</w:t>
      </w:r>
      <w:r>
        <w:rPr>
          <w:rFonts w:ascii="Arial" w:hAnsi="Arial"/>
          <w:sz w:val="28"/>
          <w:vertAlign w:val="subscript"/>
        </w:rPr>
        <w:t>ij</w:t>
      </w:r>
      <w:r>
        <w:rPr>
          <w:rFonts w:ascii="Arial" w:hAnsi="Arial"/>
          <w:sz w:val="28"/>
        </w:rPr>
        <w:t xml:space="preserve"> = Тпi - t</w:t>
      </w:r>
      <w:r>
        <w:rPr>
          <w:rFonts w:ascii="Arial" w:hAnsi="Arial"/>
          <w:sz w:val="28"/>
          <w:vertAlign w:val="subscript"/>
        </w:rPr>
        <w:t>ij</w:t>
      </w:r>
    </w:p>
    <w:p w:rsidR="006D4965" w:rsidRDefault="006D4965">
      <w:pPr>
        <w:spacing w:line="360" w:lineRule="auto"/>
        <w:ind w:firstLine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Тро</w:t>
      </w:r>
      <w:r>
        <w:rPr>
          <w:rFonts w:ascii="Arial" w:hAnsi="Arial"/>
          <w:sz w:val="28"/>
          <w:vertAlign w:val="subscript"/>
        </w:rPr>
        <w:t>ij</w:t>
      </w:r>
      <w:r>
        <w:rPr>
          <w:rFonts w:ascii="Arial" w:hAnsi="Arial"/>
          <w:sz w:val="28"/>
        </w:rPr>
        <w:t xml:space="preserve"> = Трi + t</w:t>
      </w:r>
      <w:r>
        <w:rPr>
          <w:rFonts w:ascii="Arial" w:hAnsi="Arial"/>
          <w:sz w:val="28"/>
          <w:vertAlign w:val="subscript"/>
        </w:rPr>
        <w:t>ij</w:t>
      </w:r>
    </w:p>
    <w:p w:rsidR="006D4965" w:rsidRDefault="006D4965">
      <w:pPr>
        <w:spacing w:line="360" w:lineRule="auto"/>
        <w:ind w:firstLine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Тпо</w:t>
      </w:r>
      <w:r>
        <w:rPr>
          <w:rFonts w:ascii="Arial" w:hAnsi="Arial"/>
          <w:sz w:val="28"/>
          <w:vertAlign w:val="subscript"/>
        </w:rPr>
        <w:t>ij</w:t>
      </w:r>
      <w:r>
        <w:rPr>
          <w:rFonts w:ascii="Arial" w:hAnsi="Arial"/>
          <w:sz w:val="28"/>
        </w:rPr>
        <w:t xml:space="preserve"> = Тпi  , где t</w:t>
      </w:r>
      <w:r>
        <w:rPr>
          <w:rFonts w:ascii="Arial" w:hAnsi="Arial"/>
          <w:sz w:val="28"/>
          <w:vertAlign w:val="subscript"/>
        </w:rPr>
        <w:t>ij</w:t>
      </w:r>
      <w:r>
        <w:rPr>
          <w:rFonts w:ascii="Arial" w:hAnsi="Arial"/>
          <w:sz w:val="28"/>
        </w:rPr>
        <w:t xml:space="preserve"> = t</w:t>
      </w:r>
      <w:r>
        <w:rPr>
          <w:rFonts w:ascii="Arial" w:hAnsi="Arial"/>
          <w:sz w:val="28"/>
          <w:vertAlign w:val="subscript"/>
        </w:rPr>
        <w:t>ож</w:t>
      </w:r>
      <w:r>
        <w:rPr>
          <w:rFonts w:ascii="Arial" w:hAnsi="Arial"/>
          <w:sz w:val="28"/>
        </w:rPr>
        <w:t>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Все результаты расчетов параметров сетевого графика приведены в таблице 8.1.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Коэффициент параллельности позволяет судить о том, во сколько раз предложенная модель сетевого графика может сократить общее время разработки.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Коэффициент параллельности вычисляется по формуле:</w:t>
      </w:r>
    </w:p>
    <w:p w:rsidR="006D4965" w:rsidRDefault="006D4965">
      <w:pPr>
        <w:spacing w:line="360" w:lineRule="auto"/>
        <w:ind w:firstLine="2268"/>
        <w:rPr>
          <w:rFonts w:ascii="Arial" w:hAnsi="Arial"/>
          <w:sz w:val="28"/>
        </w:rPr>
      </w:pP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  <w:vertAlign w:val="subscript"/>
        </w:rPr>
        <w:t>ПАР</w:t>
      </w:r>
      <w:r>
        <w:rPr>
          <w:rFonts w:ascii="Arial" w:hAnsi="Arial"/>
          <w:sz w:val="28"/>
        </w:rPr>
        <w:t>=</w:t>
      </w:r>
      <w:r>
        <w:rPr>
          <w:rFonts w:ascii="Arial" w:hAnsi="Arial"/>
          <w:position w:val="-32"/>
        </w:rPr>
        <w:object w:dxaOrig="920" w:dyaOrig="1080">
          <v:shape id="_x0000_i1027" type="#_x0000_t75" style="width:58.5pt;height:68.25pt" o:ole="" fillcolor="window">
            <v:imagedata r:id="rId9" o:title=""/>
          </v:shape>
          <o:OLEObject Type="Embed" ProgID="Equation.3" ShapeID="_x0000_i1027" DrawAspect="Content" ObjectID="_1461946466" r:id="rId10"/>
        </w:object>
      </w:r>
      <w:r>
        <w:rPr>
          <w:rFonts w:ascii="Arial" w:hAnsi="Arial"/>
          <w:sz w:val="28"/>
        </w:rPr>
        <w:t xml:space="preserve">, 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position w:val="-32"/>
        </w:rPr>
        <w:object w:dxaOrig="1020" w:dyaOrig="720">
          <v:shape id="_x0000_i1028" type="#_x0000_t75" style="width:60pt;height:42.75pt" o:ole="" fillcolor="window">
            <v:imagedata r:id="rId11" o:title=""/>
          </v:shape>
          <o:OLEObject Type="Embed" ProgID="Equation.3" ShapeID="_x0000_i1028" DrawAspect="Content" ObjectID="_1461946467" r:id="rId12"/>
        </w:object>
      </w:r>
      <w:r>
        <w:rPr>
          <w:rFonts w:ascii="Arial" w:hAnsi="Arial"/>
          <w:sz w:val="28"/>
        </w:rPr>
        <w:t xml:space="preserve"> - продолжительность всех работ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 ( Lкр ) - длина критического пути.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Кпар = 166 / 121 = 1,77</w:t>
      </w:r>
    </w:p>
    <w:p w:rsidR="006D4965" w:rsidRDefault="006D4965">
      <w:pPr>
        <w:spacing w:before="240"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Вывод</w:t>
      </w:r>
      <w:r>
        <w:rPr>
          <w:rFonts w:ascii="Arial" w:hAnsi="Arial"/>
          <w:sz w:val="28"/>
        </w:rPr>
        <w:t>: разработка сетевого графика сокращает время разработки почти в полтора раза. Коэффициент напряженности позволяет определить степень сложности выполнения в срок каждой группы работ на критическом пути:</w:t>
      </w:r>
    </w:p>
    <w:p w:rsidR="006D4965" w:rsidRDefault="006D4965">
      <w:pPr>
        <w:spacing w:line="360" w:lineRule="auto"/>
        <w:ind w:firstLine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Kнij </w:t>
      </w:r>
      <w:r>
        <w:rPr>
          <w:rFonts w:ascii="Arial" w:hAnsi="Arial"/>
          <w:position w:val="-34"/>
        </w:rPr>
        <w:object w:dxaOrig="1820" w:dyaOrig="760">
          <v:shape id="_x0000_i1029" type="#_x0000_t75" style="width:106.5pt;height:44.25pt" o:ole="" fillcolor="window">
            <v:imagedata r:id="rId13" o:title=""/>
          </v:shape>
          <o:OLEObject Type="Embed" ProgID="Equation.3" ShapeID="_x0000_i1029" DrawAspect="Content" ObjectID="_1461946468" r:id="rId14"/>
        </w:objec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t'( Lкр ) - продолжительность отрезка максимального пути по количеству работ, совпадающим с практическим. Значения Kнij сведены в таблицу 1.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Срок наступления события является случайной величиной. Значение расчетного времени всего комплекса работ подчиняется нормальному закону распределения вероятности: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Рк = Ф(Х) , где  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Х - аргумент функции Лапласа, который вычисляется по формуле:</w:t>
      </w:r>
    </w:p>
    <w:p w:rsidR="006D4965" w:rsidRDefault="006D4965">
      <w:pPr>
        <w:spacing w:line="360" w:lineRule="auto"/>
        <w:ind w:firstLine="1418"/>
        <w:jc w:val="both"/>
        <w:rPr>
          <w:rFonts w:ascii="Arial" w:hAnsi="Arial"/>
          <w:sz w:val="28"/>
        </w:rPr>
      </w:pPr>
      <w:r>
        <w:rPr>
          <w:rFonts w:ascii="Arial" w:hAnsi="Arial"/>
          <w:b/>
          <w:noProof/>
          <w:position w:val="-64"/>
        </w:rPr>
        <w:object w:dxaOrig="1280" w:dyaOrig="1040">
          <v:shape id="_x0000_i1030" type="#_x0000_t75" style="width:63.75pt;height:51.75pt" o:ole="" fillcolor="window">
            <v:imagedata r:id="rId15" o:title=""/>
          </v:shape>
          <o:OLEObject Type="Embed" ProgID="Equation.3" ShapeID="_x0000_i1030" DrawAspect="Content" ObjectID="_1461946469" r:id="rId16"/>
        </w:object>
      </w:r>
    </w:p>
    <w:p w:rsidR="006D4965" w:rsidRDefault="006D4965">
      <w:pPr>
        <w:spacing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Ф - функция Лапласа</w:t>
      </w:r>
    </w:p>
    <w:p w:rsidR="006D4965" w:rsidRDefault="006D4965">
      <w:pPr>
        <w:spacing w:line="360" w:lineRule="auto"/>
        <w:ind w:firstLine="99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sym w:font="Symbol" w:char="F0E5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sym w:font="Symbol" w:char="F064"/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sz w:val="28"/>
          <w:vertAlign w:val="subscript"/>
        </w:rPr>
        <w:t xml:space="preserve"> крит.i - j</w:t>
      </w:r>
      <w:r>
        <w:rPr>
          <w:rFonts w:ascii="Arial" w:hAnsi="Arial"/>
          <w:sz w:val="28"/>
        </w:rPr>
        <w:t xml:space="preserve"> - сумма квадратов дисперсий работ, лежащих на критическом пути 13,48</w:t>
      </w:r>
    </w:p>
    <w:p w:rsidR="006D4965" w:rsidRDefault="006D4965">
      <w:pPr>
        <w:spacing w:line="360" w:lineRule="auto"/>
        <w:ind w:firstLine="99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tдир = t</w:t>
      </w:r>
      <w:r>
        <w:rPr>
          <w:rFonts w:ascii="Arial" w:hAnsi="Arial"/>
          <w:sz w:val="28"/>
          <w:vertAlign w:val="subscript"/>
        </w:rPr>
        <w:t>1</w:t>
      </w:r>
      <w:r>
        <w:rPr>
          <w:rFonts w:ascii="Arial" w:hAnsi="Arial"/>
          <w:sz w:val="28"/>
        </w:rPr>
        <w:t>=130 дней - директивное время выполнения работ.</w:t>
      </w:r>
    </w:p>
    <w:p w:rsidR="006D4965" w:rsidRDefault="006D4965">
      <w:pPr>
        <w:spacing w:line="360" w:lineRule="auto"/>
        <w:ind w:firstLine="99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</w:t>
      </w:r>
      <w:r>
        <w:rPr>
          <w:rFonts w:ascii="Arial" w:hAnsi="Arial"/>
          <w:sz w:val="28"/>
          <w:vertAlign w:val="subscript"/>
        </w:rPr>
        <w:t>1</w:t>
      </w:r>
      <w:r>
        <w:rPr>
          <w:rFonts w:ascii="Arial" w:hAnsi="Arial"/>
          <w:sz w:val="28"/>
        </w:rPr>
        <w:t>- расчетное время 121 дней (длина критического пути).</w:t>
      </w:r>
    </w:p>
    <w:p w:rsidR="006D4965" w:rsidRDefault="006D4965">
      <w:pPr>
        <w:spacing w:before="120" w:line="360" w:lineRule="auto"/>
        <w:ind w:firstLine="1559"/>
        <w:jc w:val="both"/>
        <w:rPr>
          <w:rFonts w:ascii="Arial" w:hAnsi="Arial"/>
          <w:sz w:val="28"/>
        </w:rPr>
      </w:pPr>
      <w:r>
        <w:rPr>
          <w:rFonts w:ascii="Arial" w:hAnsi="Arial"/>
          <w:position w:val="-32"/>
        </w:rPr>
        <w:object w:dxaOrig="1480" w:dyaOrig="700">
          <v:shape id="_x0000_i1031" type="#_x0000_t75" style="width:74.25pt;height:35.25pt" o:ole="" fillcolor="window">
            <v:imagedata r:id="rId17" o:title=""/>
          </v:shape>
          <o:OLEObject Type="Embed" ProgID="Equation.3" ShapeID="_x0000_i1031" DrawAspect="Content" ObjectID="_1461946470" r:id="rId18"/>
        </w:object>
      </w:r>
      <w:r>
        <w:rPr>
          <w:rFonts w:ascii="Arial" w:hAnsi="Arial"/>
          <w:sz w:val="28"/>
        </w:rPr>
        <w:t xml:space="preserve"> =2,45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значения Х = 2,45 по таблицам нормального распределения вероятности находим вероятность наступления данного события в срок: 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Pk = 0,635 Эта вероятность удовлетворяет требованию: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0.35 &lt; Pk &lt; 0.65 , т.е попадает в границы допустимого риска.</w:t>
      </w:r>
    </w:p>
    <w:p w:rsidR="006D4965" w:rsidRDefault="006D4965">
      <w:pPr>
        <w:spacing w:before="120"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>Вывод</w:t>
      </w:r>
      <w:r>
        <w:rPr>
          <w:rFonts w:ascii="Arial" w:hAnsi="Arial"/>
          <w:sz w:val="28"/>
        </w:rPr>
        <w:t>: построенный сетевой график дальнейшей оптимизации не требует.</w:t>
      </w:r>
    </w:p>
    <w:p w:rsidR="006D4965" w:rsidRDefault="006D4965">
      <w:pPr>
        <w:spacing w:before="120"/>
        <w:ind w:firstLine="630"/>
        <w:jc w:val="both"/>
        <w:rPr>
          <w:rFonts w:ascii="Arial" w:hAnsi="Arial"/>
          <w:sz w:val="24"/>
        </w:rPr>
      </w:pPr>
    </w:p>
    <w:p w:rsidR="006D4965" w:rsidRDefault="006D4965">
      <w:pPr>
        <w:spacing w:before="120"/>
        <w:ind w:firstLine="630"/>
        <w:jc w:val="both"/>
        <w:rPr>
          <w:rFonts w:ascii="Arial" w:hAnsi="Arial"/>
          <w:sz w:val="24"/>
        </w:rPr>
      </w:pPr>
    </w:p>
    <w:p w:rsidR="006D4965" w:rsidRDefault="006D4965">
      <w:pPr>
        <w:spacing w:before="120"/>
        <w:ind w:firstLine="630"/>
        <w:jc w:val="both"/>
        <w:rPr>
          <w:rFonts w:ascii="Arial" w:hAnsi="Arial"/>
          <w:sz w:val="24"/>
        </w:rPr>
      </w:pPr>
    </w:p>
    <w:p w:rsidR="006D4965" w:rsidRDefault="006D4965">
      <w:pPr>
        <w:spacing w:before="120"/>
        <w:ind w:firstLine="630"/>
        <w:jc w:val="both"/>
        <w:rPr>
          <w:rFonts w:ascii="Arial" w:hAnsi="Arial"/>
          <w:sz w:val="24"/>
        </w:rPr>
      </w:pPr>
    </w:p>
    <w:p w:rsidR="006D4965" w:rsidRDefault="006D4965">
      <w:pPr>
        <w:jc w:val="center"/>
        <w:rPr>
          <w:rFonts w:ascii="Arial" w:hAnsi="Arial"/>
          <w:b/>
          <w:caps/>
          <w:sz w:val="32"/>
          <w:u w:val="single"/>
        </w:rPr>
      </w:pPr>
      <w:r>
        <w:rPr>
          <w:rFonts w:ascii="Arial" w:hAnsi="Arial"/>
          <w:b/>
          <w:caps/>
          <w:sz w:val="32"/>
          <w:u w:val="single"/>
        </w:rPr>
        <w:t xml:space="preserve"> 8.2. Расчет сметной стоимости ОКР.</w:t>
      </w:r>
    </w:p>
    <w:p w:rsidR="006D4965" w:rsidRDefault="006D4965">
      <w:pPr>
        <w:spacing w:before="480"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Расчет сметной стоимости ОКР осуществляется по следующим статьям: 2.1. Материалы, покупные комплектующие изделия и полуфабрикаты. Так как НИОКР выполняется без привлечения контрагентов, следовательно, по данной статье учитываются все материальные затраты, расходуемые в процессе выполнения всех этапов, т.е. материальные затраты по спецификациям, пошедшие на изготовление макета, опытного образца, проведение экспериментов, а так же канцелярские расходы.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 = Смак + Смат1 + Сканц + Ст.з.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Данные по этой статье приведены в таблице 8.2 и 8.3. Цены рыночные взяты на основе данных отдела материально технического снабжения ГосЦНИРТИ на октябрь 1998 года.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Расходы по материалам равны :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Смат1 = </w:t>
      </w:r>
      <w:r>
        <w:rPr>
          <w:rFonts w:ascii="Arial" w:hAnsi="Arial"/>
          <w:sz w:val="28"/>
        </w:rPr>
        <w:sym w:font="Symbol" w:char="F0E5"/>
      </w:r>
      <w:r>
        <w:rPr>
          <w:rFonts w:ascii="Arial" w:hAnsi="Arial"/>
          <w:sz w:val="28"/>
        </w:rPr>
        <w:t xml:space="preserve"> mi * цi + </w:t>
      </w:r>
      <w:r>
        <w:rPr>
          <w:rFonts w:ascii="Arial" w:hAnsi="Arial"/>
          <w:sz w:val="28"/>
        </w:rPr>
        <w:sym w:font="Symbol" w:char="F0E5"/>
      </w:r>
      <w:r>
        <w:rPr>
          <w:rFonts w:ascii="Arial" w:hAnsi="Arial"/>
          <w:sz w:val="28"/>
        </w:rPr>
        <w:t xml:space="preserve"> pj * цj , где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mi - расход i-го материала на изделие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цi - цена за единицу i-го материала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pj - количество покупных изделий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цj - цена единицы покупного изделия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Смат1 = 204руб.84коп + 156руб.80коп.= 361руб.64коп.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Транспортно - заготовительные расходы равны 15% от Смат.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Стз = 0,15 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 Смат1 =361,64 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 0,15 =54руб.26коп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Канцелярские расходы составляют 60 рублей. По экспертным оценкам материальные затраты при макетировании составляют 185 рублей.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Таким образом, общие расходы равны: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 = 361,64+54,26+185+60 =660руб.88коп.</w:t>
      </w:r>
    </w:p>
    <w:p w:rsidR="006D4965" w:rsidRDefault="006D4965">
      <w:pPr>
        <w:spacing w:before="120" w:after="120"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таблице 8.2. представлены стоимости материалов</w:t>
      </w:r>
    </w:p>
    <w:p w:rsidR="006D4965" w:rsidRDefault="006D4965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8.2.</w:t>
      </w:r>
    </w:p>
    <w:tbl>
      <w:tblPr>
        <w:tblW w:w="0" w:type="auto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826"/>
        <w:gridCol w:w="915"/>
        <w:gridCol w:w="1057"/>
        <w:gridCol w:w="668"/>
        <w:gridCol w:w="932"/>
        <w:gridCol w:w="932"/>
        <w:gridCol w:w="932"/>
        <w:gridCol w:w="932"/>
        <w:gridCol w:w="932"/>
        <w:gridCol w:w="1008"/>
        <w:gridCol w:w="1"/>
      </w:tblGrid>
      <w:tr w:rsidR="006D4965">
        <w:tc>
          <w:tcPr>
            <w:tcW w:w="927" w:type="dxa"/>
            <w:tcBorders>
              <w:bottom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№№</w:t>
            </w:r>
          </w:p>
          <w:p w:rsidR="006D4965" w:rsidRDefault="006D49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915" w:type="dxa"/>
            <w:tcBorders>
              <w:bottom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Марка,</w:t>
            </w:r>
          </w:p>
        </w:tc>
        <w:tc>
          <w:tcPr>
            <w:tcW w:w="1057" w:type="dxa"/>
            <w:tcBorders>
              <w:bottom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Единицы</w:t>
            </w:r>
          </w:p>
        </w:tc>
        <w:tc>
          <w:tcPr>
            <w:tcW w:w="668" w:type="dxa"/>
            <w:tcBorders>
              <w:bottom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 един.</w:t>
            </w:r>
          </w:p>
        </w:tc>
        <w:tc>
          <w:tcPr>
            <w:tcW w:w="932" w:type="dxa"/>
            <w:tcBorders>
              <w:bottom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Норма</w:t>
            </w:r>
          </w:p>
        </w:tc>
        <w:tc>
          <w:tcPr>
            <w:tcW w:w="932" w:type="dxa"/>
            <w:tcBorders>
              <w:bottom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  <w:tc>
          <w:tcPr>
            <w:tcW w:w="2796" w:type="dxa"/>
            <w:gridSpan w:val="3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Возвратные отходы</w:t>
            </w:r>
          </w:p>
        </w:tc>
        <w:tc>
          <w:tcPr>
            <w:tcW w:w="1009" w:type="dxa"/>
            <w:gridSpan w:val="2"/>
            <w:tcBorders>
              <w:bottom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Общие</w:t>
            </w:r>
          </w:p>
        </w:tc>
      </w:tr>
      <w:tr w:rsidR="006D4965">
        <w:trPr>
          <w:gridAfter w:val="1"/>
        </w:trPr>
        <w:tc>
          <w:tcPr>
            <w:tcW w:w="927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пп</w:t>
            </w:r>
          </w:p>
        </w:tc>
        <w:tc>
          <w:tcPr>
            <w:tcW w:w="826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матер.</w:t>
            </w:r>
          </w:p>
        </w:tc>
        <w:tc>
          <w:tcPr>
            <w:tcW w:w="915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Тип</w:t>
            </w:r>
          </w:p>
        </w:tc>
        <w:tc>
          <w:tcPr>
            <w:tcW w:w="1057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измерен.</w:t>
            </w:r>
          </w:p>
        </w:tc>
        <w:tc>
          <w:tcPr>
            <w:tcW w:w="668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руб.</w:t>
            </w:r>
          </w:p>
        </w:tc>
        <w:tc>
          <w:tcPr>
            <w:tcW w:w="932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расхода</w:t>
            </w:r>
          </w:p>
        </w:tc>
        <w:tc>
          <w:tcPr>
            <w:tcW w:w="932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руб.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Вес, г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 на ед. веса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</w:t>
            </w: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руб.</w:t>
            </w:r>
          </w:p>
        </w:tc>
        <w:tc>
          <w:tcPr>
            <w:tcW w:w="1008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Затраты, руб.</w:t>
            </w:r>
          </w:p>
        </w:tc>
      </w:tr>
      <w:tr w:rsidR="006D4965">
        <w:trPr>
          <w:gridAfter w:val="1"/>
        </w:trPr>
        <w:tc>
          <w:tcPr>
            <w:tcW w:w="927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26" w:type="dxa"/>
          </w:tcPr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Сплав</w:t>
            </w:r>
          </w:p>
        </w:tc>
        <w:tc>
          <w:tcPr>
            <w:tcW w:w="915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Д16А, Т3.0</w:t>
            </w:r>
          </w:p>
        </w:tc>
        <w:tc>
          <w:tcPr>
            <w:tcW w:w="1057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кг</w:t>
            </w:r>
          </w:p>
        </w:tc>
        <w:tc>
          <w:tcPr>
            <w:tcW w:w="668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0,32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14,4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08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6D4965">
        <w:trPr>
          <w:gridAfter w:val="1"/>
        </w:trPr>
        <w:tc>
          <w:tcPr>
            <w:tcW w:w="927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26" w:type="dxa"/>
            <w:tcBorders>
              <w:top w:val="nil"/>
            </w:tcBorders>
          </w:tcPr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Лист</w:t>
            </w:r>
          </w:p>
        </w:tc>
        <w:tc>
          <w:tcPr>
            <w:tcW w:w="915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1561 М1.0</w:t>
            </w:r>
          </w:p>
        </w:tc>
        <w:tc>
          <w:tcPr>
            <w:tcW w:w="1057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кг</w:t>
            </w:r>
          </w:p>
        </w:tc>
        <w:tc>
          <w:tcPr>
            <w:tcW w:w="668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32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0,04</w:t>
            </w:r>
          </w:p>
        </w:tc>
        <w:tc>
          <w:tcPr>
            <w:tcW w:w="932" w:type="dxa"/>
            <w:tcBorders>
              <w:top w:val="nil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1,6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</w:t>
            </w:r>
          </w:p>
        </w:tc>
        <w:tc>
          <w:tcPr>
            <w:tcW w:w="1008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39,87</w:t>
            </w:r>
          </w:p>
        </w:tc>
      </w:tr>
      <w:tr w:rsidR="006D4965">
        <w:trPr>
          <w:gridAfter w:val="1"/>
        </w:trPr>
        <w:tc>
          <w:tcPr>
            <w:tcW w:w="927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26" w:type="dxa"/>
          </w:tcPr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Керамика</w:t>
            </w:r>
          </w:p>
        </w:tc>
        <w:tc>
          <w:tcPr>
            <w:tcW w:w="915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ВТ-0</w:t>
            </w:r>
          </w:p>
        </w:tc>
        <w:tc>
          <w:tcPr>
            <w:tcW w:w="1057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кг</w:t>
            </w:r>
          </w:p>
        </w:tc>
        <w:tc>
          <w:tcPr>
            <w:tcW w:w="668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0,017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1,19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08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</w:tr>
      <w:tr w:rsidR="006D4965">
        <w:trPr>
          <w:gridAfter w:val="1"/>
        </w:trPr>
        <w:tc>
          <w:tcPr>
            <w:tcW w:w="927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26" w:type="dxa"/>
          </w:tcPr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Стеклотекстолит</w:t>
            </w:r>
          </w:p>
        </w:tc>
        <w:tc>
          <w:tcPr>
            <w:tcW w:w="915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СТАП- 2-3.51- 1,5</w:t>
            </w:r>
          </w:p>
        </w:tc>
        <w:tc>
          <w:tcPr>
            <w:tcW w:w="1057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668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0,060</w:t>
            </w:r>
            <w:r>
              <w:rPr>
                <w:rFonts w:ascii="Arial" w:hAnsi="Arial"/>
              </w:rPr>
              <w:sym w:font="Symbol" w:char="F0B4"/>
            </w: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0,048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0,257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932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008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49,97</w:t>
            </w:r>
          </w:p>
        </w:tc>
      </w:tr>
    </w:tbl>
    <w:p w:rsidR="006D4965" w:rsidRDefault="006D4965">
      <w:pPr>
        <w:spacing w:before="120"/>
        <w:ind w:firstLine="6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Итого: 204 руб.84коп..</w:t>
      </w:r>
    </w:p>
    <w:p w:rsidR="006D4965" w:rsidRDefault="006D4965">
      <w:pPr>
        <w:spacing w:before="120"/>
        <w:rPr>
          <w:rFonts w:ascii="Arial" w:hAnsi="Arial"/>
          <w:sz w:val="24"/>
        </w:rPr>
      </w:pPr>
    </w:p>
    <w:p w:rsidR="006D4965" w:rsidRDefault="006D4965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таблице 8.3. представлены покупные изделия.</w:t>
      </w:r>
    </w:p>
    <w:p w:rsidR="006D4965" w:rsidRDefault="006D4965">
      <w:pPr>
        <w:spacing w:before="120" w:after="120"/>
        <w:ind w:firstLine="62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8.3.</w:t>
      </w:r>
    </w:p>
    <w:tbl>
      <w:tblPr>
        <w:tblW w:w="0" w:type="auto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391"/>
        <w:gridCol w:w="1546"/>
        <w:gridCol w:w="1546"/>
        <w:gridCol w:w="1546"/>
        <w:gridCol w:w="1546"/>
      </w:tblGrid>
      <w:tr w:rsidR="006D4965">
        <w:tc>
          <w:tcPr>
            <w:tcW w:w="709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№№</w:t>
            </w: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пп</w:t>
            </w:r>
          </w:p>
        </w:tc>
        <w:tc>
          <w:tcPr>
            <w:tcW w:w="1701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покупных изделий</w:t>
            </w:r>
          </w:p>
        </w:tc>
        <w:tc>
          <w:tcPr>
            <w:tcW w:w="1391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Марка, тип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Ед. измерения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 за ед. измерения</w:t>
            </w: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руб.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Кол-во на изделии</w:t>
            </w: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изделие</w:t>
            </w: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руб.</w:t>
            </w:r>
          </w:p>
        </w:tc>
      </w:tr>
      <w:tr w:rsidR="006D4965">
        <w:tc>
          <w:tcPr>
            <w:tcW w:w="709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01" w:type="dxa"/>
          </w:tcPr>
          <w:p w:rsidR="006D4965" w:rsidRDefault="006D4965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</w:rPr>
              <w:t>Диод</w:t>
            </w:r>
          </w:p>
        </w:tc>
        <w:tc>
          <w:tcPr>
            <w:tcW w:w="1391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2А547А3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</w:tr>
      <w:tr w:rsidR="006D4965">
        <w:tc>
          <w:tcPr>
            <w:tcW w:w="709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701" w:type="dxa"/>
          </w:tcPr>
          <w:p w:rsidR="006D4965" w:rsidRDefault="006D4965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</w:rPr>
              <w:t>Резистры</w:t>
            </w:r>
          </w:p>
        </w:tc>
        <w:tc>
          <w:tcPr>
            <w:tcW w:w="1391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СП3-44А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3,2</w:t>
            </w:r>
          </w:p>
        </w:tc>
      </w:tr>
      <w:tr w:rsidR="006D4965">
        <w:tc>
          <w:tcPr>
            <w:tcW w:w="709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01" w:type="dxa"/>
          </w:tcPr>
          <w:p w:rsidR="006D4965" w:rsidRDefault="006D4965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</w:rPr>
              <w:t>Емкость</w:t>
            </w:r>
          </w:p>
        </w:tc>
        <w:tc>
          <w:tcPr>
            <w:tcW w:w="1391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ОСК10-17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</w:tr>
      <w:tr w:rsidR="006D4965">
        <w:tc>
          <w:tcPr>
            <w:tcW w:w="709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701" w:type="dxa"/>
          </w:tcPr>
          <w:p w:rsidR="006D4965" w:rsidRDefault="006D4965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</w:rPr>
              <w:t>Индуктивность</w:t>
            </w:r>
          </w:p>
        </w:tc>
        <w:tc>
          <w:tcPr>
            <w:tcW w:w="1391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ОСДМ-0,4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0,7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5,6</w:t>
            </w:r>
          </w:p>
        </w:tc>
      </w:tr>
      <w:tr w:rsidR="006D4965">
        <w:tc>
          <w:tcPr>
            <w:tcW w:w="709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01" w:type="dxa"/>
          </w:tcPr>
          <w:p w:rsidR="006D4965" w:rsidRDefault="006D4965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</w:rPr>
              <w:t>Микросхема</w:t>
            </w:r>
          </w:p>
        </w:tc>
        <w:tc>
          <w:tcPr>
            <w:tcW w:w="1391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530 ЛП5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</w:tr>
      <w:tr w:rsidR="006D4965">
        <w:tc>
          <w:tcPr>
            <w:tcW w:w="709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01" w:type="dxa"/>
          </w:tcPr>
          <w:p w:rsidR="006D4965" w:rsidRDefault="006D4965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</w:rPr>
              <w:t>Подложка</w:t>
            </w:r>
          </w:p>
        </w:tc>
        <w:tc>
          <w:tcPr>
            <w:tcW w:w="1391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ЩеО7.817010-01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</w:tr>
      <w:tr w:rsidR="006D4965">
        <w:tc>
          <w:tcPr>
            <w:tcW w:w="709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701" w:type="dxa"/>
          </w:tcPr>
          <w:p w:rsidR="006D4965" w:rsidRDefault="006D4965">
            <w:pPr>
              <w:ind w:firstLine="72"/>
              <w:rPr>
                <w:rFonts w:ascii="Arial" w:hAnsi="Arial"/>
              </w:rPr>
            </w:pPr>
            <w:r>
              <w:rPr>
                <w:rFonts w:ascii="Arial" w:hAnsi="Arial"/>
              </w:rPr>
              <w:t>Припой</w:t>
            </w:r>
          </w:p>
        </w:tc>
        <w:tc>
          <w:tcPr>
            <w:tcW w:w="1391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ПОС-61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кг.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 кг.</w:t>
            </w:r>
          </w:p>
        </w:tc>
        <w:tc>
          <w:tcPr>
            <w:tcW w:w="1546" w:type="dxa"/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</w:tbl>
    <w:p w:rsidR="006D4965" w:rsidRDefault="006D4965">
      <w:pPr>
        <w:spacing w:before="120"/>
        <w:ind w:firstLine="62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Итого: 156 руб.80коп.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2.2. Специальное оборудование для научных работ. При разработке блока используется имеющиеся на предприятии оборудование, т.е. затраты на оборудование отсутствуют. Амортизационные отчисления на действующее оборудование учтены в накладных расходах.</w:t>
      </w:r>
    </w:p>
    <w:p w:rsidR="006D4965" w:rsidRDefault="006D4965">
      <w:pPr>
        <w:spacing w:before="480"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2.3. Основная зарплата научного и производственного персонала.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Она включает в себя оплату труда всех исполнителей по теме, итог по этой статье отражен в сводной таблице. Расходы по этой статье определяются по таблице 8.1, как сумма зарплаты всех исполнителей.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Сосн. =7 059 руб.13коп.</w:t>
      </w:r>
    </w:p>
    <w:p w:rsidR="006D4965" w:rsidRDefault="006D4965">
      <w:pPr>
        <w:pStyle w:val="3"/>
        <w:spacing w:line="360" w:lineRule="auto"/>
        <w:ind w:firstLine="425"/>
        <w:rPr>
          <w:rFonts w:ascii="Arial" w:hAnsi="Arial"/>
          <w:sz w:val="28"/>
        </w:rPr>
      </w:pPr>
      <w:r>
        <w:rPr>
          <w:rFonts w:ascii="Arial" w:hAnsi="Arial"/>
          <w:sz w:val="28"/>
        </w:rPr>
        <w:t>2.4. Дополнительная зарплата берется в размере 27% от основной.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Сдоп. = Сосн. </w:t>
      </w:r>
      <w:r>
        <w:rPr>
          <w:rFonts w:ascii="Arial" w:hAnsi="Arial"/>
          <w:sz w:val="28"/>
          <w:vertAlign w:val="subscript"/>
        </w:rPr>
        <w:t xml:space="preserve">* </w:t>
      </w:r>
      <w:r>
        <w:rPr>
          <w:rFonts w:ascii="Arial" w:hAnsi="Arial"/>
          <w:sz w:val="28"/>
        </w:rPr>
        <w:t>0,27 =1 905 руб 98коп.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2.5. Отчисления на социальные нужды. Данные отчисления составляют 38.5% от суммы основной и дополнительной зарплат.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Ссн. = 38,5% 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 (Сосн. + Сдоп.)=3 541 руб.25коп.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2.6. Производственные и научные командировки. Производственные и научные командировки отсутствуют, следовательно, расходов по данной статье нет. 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2.7. Оплата работ, выполняемых сторонними организациями и предприятиями.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 разработке и производству изделия сторонние организации и предприятия не привлекаются. Значит, по этой статье расходов нет.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2.8. Накладные расходы.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 данным финансовой группы накладные расходы на ГосЦНИРТИ вычисляют из расчета 322% от основной зарплаты и они равны 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Снакл. = 3,22</w:t>
      </w:r>
      <w:r>
        <w:rPr>
          <w:rFonts w:ascii="Arial" w:hAnsi="Arial"/>
          <w:sz w:val="28"/>
          <w:vertAlign w:val="subscript"/>
        </w:rPr>
        <w:t xml:space="preserve"> *</w:t>
      </w:r>
      <w:r>
        <w:rPr>
          <w:rFonts w:ascii="Arial" w:hAnsi="Arial"/>
          <w:sz w:val="28"/>
        </w:rPr>
        <w:t xml:space="preserve"> Сосн. =22 730 руб 59коп.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2.9. В цены ОКР, проводимых за счет государственного бюджета НДС не включать. Стоимость ОКР будет равна: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Cокр = С + Сосн. + Сдоп. + Сс.н. + Снакл.= 35 897 руб 89коп.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Расходы по статьям приведены в таблице 8.4.</w:t>
      </w:r>
    </w:p>
    <w:p w:rsidR="006D4965" w:rsidRDefault="006D4965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Таблица 8.4.  </w:t>
      </w:r>
    </w:p>
    <w:p w:rsidR="006D4965" w:rsidRDefault="006D4965">
      <w:pPr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Расчет сметной стоимости ОКР.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3044"/>
      </w:tblGrid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№№ пп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firstLine="630"/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ind w:firstLine="63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статей расхода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</w:t>
            </w: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руб.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614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Материалы, покупные комплектующие изделия и полуфабрикаты.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660,88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614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Специальное оборудование для научных работ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614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Основная заработная плата научного и производственного персонала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7 069,13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614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Дополнительная заработная плата научного и производственного персонала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1 905,98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614" w:hanging="283"/>
              <w:rPr>
                <w:rFonts w:ascii="Arial" w:hAnsi="Arial"/>
              </w:rPr>
            </w:pPr>
          </w:p>
          <w:p w:rsidR="006D4965" w:rsidRDefault="006D4965">
            <w:pPr>
              <w:ind w:left="614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Отчисления на социальные нужды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3 541,25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614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научные и производственные командировки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614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Оплата работ, выполняемых сторонними организациями и предприятиями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614" w:hanging="283"/>
              <w:rPr>
                <w:rFonts w:ascii="Arial" w:hAnsi="Arial"/>
              </w:rPr>
            </w:pPr>
          </w:p>
          <w:p w:rsidR="006D4965" w:rsidRDefault="006D4965">
            <w:pPr>
              <w:ind w:left="614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Накладные расходы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22 730,59</w:t>
            </w:r>
          </w:p>
        </w:tc>
      </w:tr>
      <w:tr w:rsidR="006D4965">
        <w:tc>
          <w:tcPr>
            <w:tcW w:w="637" w:type="dxa"/>
          </w:tcPr>
          <w:p w:rsidR="006D4965" w:rsidRDefault="006D4965">
            <w:pPr>
              <w:spacing w:before="12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5812" w:type="dxa"/>
          </w:tcPr>
          <w:p w:rsidR="006D4965" w:rsidRDefault="006D4965">
            <w:pPr>
              <w:spacing w:before="12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044" w:type="dxa"/>
          </w:tcPr>
          <w:p w:rsidR="006D4965" w:rsidRDefault="006D4965">
            <w:pPr>
              <w:spacing w:before="12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Итого: 35 897 руб 89коп.</w:t>
            </w:r>
          </w:p>
        </w:tc>
      </w:tr>
    </w:tbl>
    <w:p w:rsidR="006D4965" w:rsidRDefault="006D4965">
      <w:pPr>
        <w:spacing w:before="120"/>
        <w:ind w:firstLine="630"/>
        <w:jc w:val="both"/>
        <w:rPr>
          <w:rFonts w:ascii="Arial" w:hAnsi="Arial"/>
          <w:b/>
          <w:sz w:val="24"/>
          <w:u w:val="single"/>
        </w:rPr>
      </w:pPr>
    </w:p>
    <w:p w:rsidR="006D4965" w:rsidRDefault="006D4965">
      <w:pPr>
        <w:spacing w:before="120"/>
        <w:jc w:val="center"/>
        <w:rPr>
          <w:rFonts w:ascii="Arial" w:hAnsi="Arial"/>
          <w:b/>
          <w:caps/>
          <w:sz w:val="32"/>
          <w:u w:val="single"/>
        </w:rPr>
      </w:pPr>
      <w:r>
        <w:rPr>
          <w:rFonts w:ascii="Arial" w:hAnsi="Arial"/>
          <w:b/>
          <w:caps/>
          <w:sz w:val="32"/>
          <w:u w:val="single"/>
        </w:rPr>
        <w:t xml:space="preserve">8.3. Расчет себестоимости </w:t>
      </w:r>
    </w:p>
    <w:p w:rsidR="006D4965" w:rsidRDefault="006D4965">
      <w:pPr>
        <w:spacing w:before="120"/>
        <w:jc w:val="center"/>
        <w:rPr>
          <w:rFonts w:ascii="Arial" w:hAnsi="Arial"/>
          <w:b/>
          <w:caps/>
          <w:sz w:val="32"/>
          <w:u w:val="single"/>
        </w:rPr>
      </w:pPr>
      <w:r>
        <w:rPr>
          <w:rFonts w:ascii="Arial" w:hAnsi="Arial"/>
          <w:b/>
          <w:caps/>
          <w:sz w:val="32"/>
          <w:u w:val="single"/>
        </w:rPr>
        <w:t>проектируемого изделия.</w:t>
      </w:r>
    </w:p>
    <w:p w:rsidR="006D4965" w:rsidRDefault="006D4965">
      <w:pPr>
        <w:spacing w:before="120"/>
        <w:ind w:firstLine="630"/>
        <w:jc w:val="both"/>
        <w:rPr>
          <w:rFonts w:ascii="Arial" w:hAnsi="Arial"/>
          <w:b/>
          <w:sz w:val="24"/>
          <w:u w:val="single"/>
        </w:rPr>
      </w:pPr>
    </w:p>
    <w:p w:rsidR="006D4965" w:rsidRDefault="006D4965">
      <w:pPr>
        <w:spacing w:before="240"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составления калькуляции произведем расчет по статьям расхода.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3.1. Стоимость материалов, комплектующих изделий, полуфабрикатов с учетом транспортно-заготовительных расходов. Расходы по этой статье определяются по спецификациям с учетом транспортно-заготовительных расходов и равны аналогичным из расчета стоимости ОКР.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Смат2. =361,63+54,25=415 руб 88коп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3.2. Основная зарплата производственных рабочих.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Данные по этой статье взяты из таблицы 1 для следующих работ :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13-14,14-15,15-16,15-17,16-17,17-18,18-19.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Спр. =527 руб 66коп.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Сосн. = 1,4</w:t>
      </w:r>
      <w:r>
        <w:rPr>
          <w:rFonts w:ascii="Arial" w:hAnsi="Arial"/>
          <w:sz w:val="28"/>
          <w:vertAlign w:val="subscript"/>
        </w:rPr>
        <w:t xml:space="preserve"> *</w:t>
      </w:r>
      <w:r>
        <w:rPr>
          <w:rFonts w:ascii="Arial" w:hAnsi="Arial"/>
          <w:sz w:val="28"/>
        </w:rPr>
        <w:t xml:space="preserve"> Спр. =738 руб 73коп.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3.3. Дополнительная зарплата производственных рабочих. Дополнительная зарплата составляет 27 % от основной зарплаты. 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Сдоп. = 0,27</w:t>
      </w:r>
      <w:r>
        <w:rPr>
          <w:rFonts w:ascii="Arial" w:hAnsi="Arial"/>
          <w:sz w:val="28"/>
          <w:vertAlign w:val="subscript"/>
        </w:rPr>
        <w:t xml:space="preserve"> *</w:t>
      </w:r>
      <w:r>
        <w:rPr>
          <w:rFonts w:ascii="Arial" w:hAnsi="Arial"/>
          <w:sz w:val="28"/>
        </w:rPr>
        <w:t xml:space="preserve"> Сосн. =199 руб 45коп.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3.4. Отчисления на социальные нужды.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Ссн. = (Сосн. + Сдоп.) 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 38,5% = 370 руб 20коп.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3.5. Цеховые расходы. Эти расходы составляют 250% от Сосн.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Сцех. = 2,5 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 Сосн.=1 846 руб 83коп</w:t>
      </w:r>
    </w:p>
    <w:p w:rsidR="006D4965" w:rsidRDefault="006D4965">
      <w:pPr>
        <w:spacing w:before="12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3.6. Общезаводские расходы. Эти расходы составляют 260% от Сосн.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Соз. = 2,6 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 Сосн. =1 920 руб 71коп</w:t>
      </w:r>
    </w:p>
    <w:p w:rsidR="006D4965" w:rsidRDefault="006D4965">
      <w:pPr>
        <w:pStyle w:val="3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3.7. Цеховая себестоимость.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Cцех. = Смат2. + Сосн. + Сдоп.+ Сцех. + Ссн. 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Cцех. =3 571 руб 49коп.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3.8. Заводская себестоимость. Эта себестоимость определяется как сумма цеховой себестоимости, общезаводских расходов, вне производственных расходов, составляющих 5% от общезаводских расходов.</w:t>
      </w:r>
    </w:p>
    <w:p w:rsidR="006D4965" w:rsidRDefault="006D4965">
      <w:pPr>
        <w:spacing w:before="120"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Cзав. = Cцех. + 0,05 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 Соз.= 3 667 руб 53коп</w:t>
      </w:r>
    </w:p>
    <w:p w:rsidR="006D4965" w:rsidRDefault="006D4965">
      <w:pPr>
        <w:spacing w:before="120"/>
        <w:jc w:val="center"/>
        <w:rPr>
          <w:rFonts w:ascii="Arial" w:hAnsi="Arial"/>
          <w:b/>
          <w:caps/>
          <w:sz w:val="32"/>
          <w:u w:val="single"/>
        </w:rPr>
      </w:pPr>
      <w:r>
        <w:rPr>
          <w:rFonts w:ascii="Arial" w:hAnsi="Arial"/>
          <w:b/>
          <w:caps/>
          <w:sz w:val="32"/>
          <w:u w:val="single"/>
        </w:rPr>
        <w:t>8.4. Определение цены изделия.</w:t>
      </w:r>
    </w:p>
    <w:p w:rsidR="006D4965" w:rsidRDefault="006D4965">
      <w:pPr>
        <w:pStyle w:val="8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Ц = Сзав. + П , где П - прибыль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П=0,52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(Cзав.-Смат2.)=1 690 руб 86коп.. Следовательно: </w:t>
      </w:r>
      <w:r>
        <w:rPr>
          <w:rFonts w:ascii="Arial" w:hAnsi="Arial"/>
          <w:sz w:val="28"/>
        </w:rPr>
        <w:tab/>
        <w:t>Ц =5 358 руб 39коп.</w:t>
      </w:r>
    </w:p>
    <w:p w:rsidR="006D4965" w:rsidRDefault="006D4965">
      <w:pPr>
        <w:spacing w:before="120"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таблице 8.5.  приведен расчет себестоимости проектируемого изделия</w:t>
      </w:r>
    </w:p>
    <w:p w:rsidR="006D4965" w:rsidRDefault="006D4965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8.5.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428"/>
        <w:gridCol w:w="1668"/>
      </w:tblGrid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№№ пп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статей расхода</w:t>
            </w:r>
          </w:p>
          <w:p w:rsidR="006D4965" w:rsidRDefault="006D49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руб.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49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Материалы, покупные комплектующие изделия и полуфабрикаты.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rPr>
                <w:rFonts w:ascii="Arial" w:hAnsi="Arial"/>
              </w:rPr>
            </w:pPr>
          </w:p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415,88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49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Основная заработная плата производственных рабочих.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rPr>
                <w:rFonts w:ascii="Arial" w:hAnsi="Arial"/>
              </w:rPr>
            </w:pPr>
          </w:p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738,73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49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Дополнительная заработная плата производственных рабочих.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rPr>
                <w:rFonts w:ascii="Arial" w:hAnsi="Arial"/>
              </w:rPr>
            </w:pPr>
          </w:p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199,45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497" w:hanging="283"/>
              <w:rPr>
                <w:rFonts w:ascii="Arial" w:hAnsi="Arial"/>
              </w:rPr>
            </w:pPr>
          </w:p>
          <w:p w:rsidR="006D4965" w:rsidRDefault="006D4965">
            <w:pPr>
              <w:ind w:left="49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Отчисления на социальные нужды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rPr>
                <w:rFonts w:ascii="Arial" w:hAnsi="Arial"/>
              </w:rPr>
            </w:pPr>
          </w:p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370,58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497" w:hanging="283"/>
              <w:rPr>
                <w:rFonts w:ascii="Arial" w:hAnsi="Arial"/>
              </w:rPr>
            </w:pPr>
          </w:p>
          <w:p w:rsidR="006D4965" w:rsidRDefault="006D4965">
            <w:pPr>
              <w:ind w:left="49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Цеховые расходы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rPr>
                <w:rFonts w:ascii="Arial" w:hAnsi="Arial"/>
              </w:rPr>
            </w:pPr>
          </w:p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1 846,83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497" w:hanging="283"/>
              <w:rPr>
                <w:rFonts w:ascii="Arial" w:hAnsi="Arial"/>
              </w:rPr>
            </w:pPr>
          </w:p>
          <w:p w:rsidR="006D4965" w:rsidRDefault="006D4965">
            <w:pPr>
              <w:ind w:left="49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Цеховая себестоимость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rPr>
                <w:rFonts w:ascii="Arial" w:hAnsi="Arial"/>
              </w:rPr>
            </w:pPr>
          </w:p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3 571,49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497" w:hanging="283"/>
              <w:rPr>
                <w:rFonts w:ascii="Arial" w:hAnsi="Arial"/>
              </w:rPr>
            </w:pPr>
          </w:p>
          <w:p w:rsidR="006D4965" w:rsidRDefault="006D4965">
            <w:pPr>
              <w:ind w:left="49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Общезаводские расходы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4965" w:rsidRDefault="006D4965">
            <w:pPr>
              <w:rPr>
                <w:rFonts w:ascii="Arial" w:hAnsi="Arial"/>
              </w:rPr>
            </w:pPr>
          </w:p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1 920,71</w:t>
            </w:r>
          </w:p>
        </w:tc>
      </w:tr>
      <w:tr w:rsidR="006D496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jc w:val="center"/>
              <w:rPr>
                <w:rFonts w:ascii="Arial" w:hAnsi="Arial"/>
              </w:rPr>
            </w:pPr>
          </w:p>
          <w:p w:rsidR="006D4965" w:rsidRDefault="006D49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ind w:left="497" w:hanging="283"/>
              <w:rPr>
                <w:rFonts w:ascii="Arial" w:hAnsi="Arial"/>
              </w:rPr>
            </w:pPr>
          </w:p>
          <w:p w:rsidR="006D4965" w:rsidRDefault="006D4965">
            <w:pPr>
              <w:ind w:left="49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Заводская себестоимость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65" w:rsidRDefault="006D4965">
            <w:pPr>
              <w:rPr>
                <w:rFonts w:ascii="Arial" w:hAnsi="Arial"/>
              </w:rPr>
            </w:pPr>
          </w:p>
          <w:p w:rsidR="006D4965" w:rsidRDefault="006D49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3 667,53</w:t>
            </w:r>
          </w:p>
        </w:tc>
      </w:tr>
    </w:tbl>
    <w:p w:rsidR="006D4965" w:rsidRDefault="006D4965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таблице 8.6. представлена таблица результатов.</w:t>
      </w:r>
    </w:p>
    <w:p w:rsidR="006D4965" w:rsidRDefault="006D4965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8.6.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1559"/>
      </w:tblGrid>
      <w:tr w:rsidR="006D4965">
        <w:tc>
          <w:tcPr>
            <w:tcW w:w="637" w:type="dxa"/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№№ пп</w:t>
            </w:r>
          </w:p>
        </w:tc>
        <w:tc>
          <w:tcPr>
            <w:tcW w:w="3544" w:type="dxa"/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Экономические показатели изделия</w:t>
            </w:r>
          </w:p>
        </w:tc>
        <w:tc>
          <w:tcPr>
            <w:tcW w:w="1559" w:type="dxa"/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руб.</w:t>
            </w:r>
          </w:p>
        </w:tc>
      </w:tr>
      <w:tr w:rsidR="006D4965">
        <w:tc>
          <w:tcPr>
            <w:tcW w:w="637" w:type="dxa"/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44" w:type="dxa"/>
          </w:tcPr>
          <w:p w:rsidR="006D4965" w:rsidRDefault="006D4965">
            <w:pPr>
              <w:spacing w:before="120"/>
              <w:ind w:firstLine="214"/>
              <w:rPr>
                <w:rFonts w:ascii="Arial" w:hAnsi="Arial"/>
              </w:rPr>
            </w:pPr>
            <w:r>
              <w:rPr>
                <w:rFonts w:ascii="Arial" w:hAnsi="Arial"/>
              </w:rPr>
              <w:t>Сметная стоимость ОКР</w:t>
            </w:r>
          </w:p>
        </w:tc>
        <w:tc>
          <w:tcPr>
            <w:tcW w:w="1559" w:type="dxa"/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35 897,89</w:t>
            </w:r>
          </w:p>
        </w:tc>
      </w:tr>
      <w:tr w:rsidR="006D4965">
        <w:tc>
          <w:tcPr>
            <w:tcW w:w="637" w:type="dxa"/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44" w:type="dxa"/>
          </w:tcPr>
          <w:p w:rsidR="006D4965" w:rsidRDefault="006D4965">
            <w:pPr>
              <w:spacing w:before="120"/>
              <w:ind w:firstLine="214"/>
              <w:rPr>
                <w:rFonts w:ascii="Arial" w:hAnsi="Arial"/>
              </w:rPr>
            </w:pPr>
            <w:r>
              <w:rPr>
                <w:rFonts w:ascii="Arial" w:hAnsi="Arial"/>
              </w:rPr>
              <w:t>Себестоимость образца</w:t>
            </w:r>
          </w:p>
        </w:tc>
        <w:tc>
          <w:tcPr>
            <w:tcW w:w="1559" w:type="dxa"/>
          </w:tcPr>
          <w:p w:rsidR="006D4965" w:rsidRDefault="006D496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3 667,53</w:t>
            </w:r>
          </w:p>
        </w:tc>
      </w:tr>
      <w:tr w:rsidR="006D4965">
        <w:tc>
          <w:tcPr>
            <w:tcW w:w="637" w:type="dxa"/>
          </w:tcPr>
          <w:p w:rsidR="006D4965" w:rsidRDefault="006D49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44" w:type="dxa"/>
          </w:tcPr>
          <w:p w:rsidR="006D4965" w:rsidRDefault="006D4965">
            <w:pPr>
              <w:spacing w:before="120"/>
              <w:ind w:firstLine="214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 изделия</w:t>
            </w:r>
          </w:p>
        </w:tc>
        <w:tc>
          <w:tcPr>
            <w:tcW w:w="1559" w:type="dxa"/>
          </w:tcPr>
          <w:p w:rsidR="006D4965" w:rsidRDefault="006D496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5 358,39</w:t>
            </w:r>
          </w:p>
        </w:tc>
      </w:tr>
    </w:tbl>
    <w:p w:rsidR="006D4965" w:rsidRDefault="006D4965">
      <w:pPr>
        <w:spacing w:before="360"/>
        <w:jc w:val="center"/>
        <w:rPr>
          <w:rFonts w:ascii="Arial" w:hAnsi="Arial"/>
          <w:b/>
          <w:caps/>
          <w:sz w:val="32"/>
          <w:u w:val="single"/>
        </w:rPr>
      </w:pPr>
      <w:r>
        <w:rPr>
          <w:rFonts w:ascii="Arial" w:hAnsi="Arial"/>
          <w:b/>
          <w:caps/>
          <w:sz w:val="32"/>
          <w:u w:val="single"/>
        </w:rPr>
        <w:t>8.5. Выводы:</w:t>
      </w:r>
    </w:p>
    <w:p w:rsidR="006D4965" w:rsidRDefault="006D4965">
      <w:pPr>
        <w:spacing w:before="360"/>
        <w:jc w:val="center"/>
        <w:rPr>
          <w:rFonts w:ascii="Arial" w:hAnsi="Arial"/>
          <w:b/>
          <w:caps/>
          <w:sz w:val="32"/>
          <w:u w:val="single"/>
        </w:rPr>
      </w:pP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В результате проделанной работы был разработан и построен сетевой график, а так же определена стоимость ОКР.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Был произведен расчет себестоимости образца, в результате которого мы получили цену изделия и его себестоимость. Определение цены изделия в условиях инфляции на февраль 1998 г.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Ц(1.02.99) = Ц(1.10.98)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>(А</w:t>
      </w:r>
      <w:r>
        <w:rPr>
          <w:rFonts w:ascii="Arial" w:hAnsi="Arial"/>
          <w:sz w:val="28"/>
          <w:vertAlign w:val="subscript"/>
        </w:rPr>
        <w:t>*</w:t>
      </w:r>
      <w:r>
        <w:rPr>
          <w:rFonts w:ascii="Arial" w:hAnsi="Arial"/>
          <w:sz w:val="28"/>
        </w:rPr>
        <w:t xml:space="preserve">q(1.02.99) / q(1.10.98) +Б </w:t>
      </w:r>
      <w:r>
        <w:rPr>
          <w:rFonts w:ascii="Arial" w:hAnsi="Arial"/>
          <w:sz w:val="28"/>
          <w:vertAlign w:val="subscript"/>
        </w:rPr>
        <w:t xml:space="preserve">* </w:t>
      </w:r>
      <w:r>
        <w:rPr>
          <w:rFonts w:ascii="Arial" w:hAnsi="Arial"/>
          <w:sz w:val="28"/>
        </w:rPr>
        <w:t xml:space="preserve">q'(1.02.99)/q'(1.10.98)+В)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А + Б + В = 1 , где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 - удельный вес материалов в цене изделия.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 - удельный вес зарплаты в цене изделия.</w:t>
      </w:r>
    </w:p>
    <w:p w:rsidR="006D4965" w:rsidRDefault="006D4965">
      <w:pPr>
        <w:spacing w:line="360" w:lineRule="auto"/>
        <w:ind w:firstLine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- удельный вес остальных затрат.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q(1.02.99) / q(1.10.98) - безразмерный коэффициент, учитывающий рост цен на материалы в условиях инфляции, где 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q(1.02.99) - цена на материалы в феврале 1999 г.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q(1.10.98) - цена на материалы в октябре 1998 г.</w:t>
      </w:r>
    </w:p>
    <w:p w:rsidR="006D4965" w:rsidRDefault="006D4965">
      <w:pPr>
        <w:spacing w:line="360" w:lineRule="auto"/>
        <w:ind w:firstLine="62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q'(1.02.99) / q'(1.10.98) - безразмерный коэффициент, учитывающий рост заработной платы в условиях инфляции. </w:t>
      </w:r>
    </w:p>
    <w:p w:rsidR="006D4965" w:rsidRDefault="006D4965">
      <w:pPr>
        <w:spacing w:before="120" w:line="360" w:lineRule="auto"/>
        <w:ind w:firstLine="63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условии, что цены на материалы за три месяца возрастут на 10%, заработная плата за тот же период возрастет на 5%, получаем цену изделия на февраль 1999 года:</w:t>
      </w:r>
    </w:p>
    <w:p w:rsidR="006D4965" w:rsidRDefault="006D4965">
      <w:pPr>
        <w:spacing w:before="120" w:line="360" w:lineRule="auto"/>
        <w:ind w:firstLine="630"/>
        <w:rPr>
          <w:rFonts w:ascii="Arial" w:hAnsi="Arial"/>
          <w:sz w:val="28"/>
        </w:rPr>
      </w:pPr>
      <w:r>
        <w:rPr>
          <w:rFonts w:ascii="Arial" w:hAnsi="Arial"/>
          <w:sz w:val="28"/>
        </w:rPr>
        <w:t>Ц(1.02.99) =</w:t>
      </w:r>
      <w:r>
        <w:rPr>
          <w:rFonts w:ascii="Arial" w:hAnsi="Arial"/>
          <w:position w:val="-30"/>
        </w:rPr>
        <w:object w:dxaOrig="5220" w:dyaOrig="720">
          <v:shape id="_x0000_i1032" type="#_x0000_t75" style="width:261pt;height:36pt" o:ole="" fillcolor="window">
            <v:imagedata r:id="rId19" o:title=""/>
          </v:shape>
          <o:OLEObject Type="Embed" ProgID="Equation.3" ShapeID="_x0000_i1032" DrawAspect="Content" ObjectID="_1461946471" r:id="rId20"/>
        </w:object>
      </w:r>
      <w:r>
        <w:rPr>
          <w:rFonts w:ascii="Arial" w:hAnsi="Arial"/>
          <w:sz w:val="28"/>
        </w:rPr>
        <w:t>=5 997руб.20коп.</w:t>
      </w:r>
    </w:p>
    <w:p w:rsidR="006D4965" w:rsidRDefault="006D4965">
      <w:bookmarkStart w:id="0" w:name="_GoBack"/>
      <w:bookmarkEnd w:id="0"/>
    </w:p>
    <w:sectPr w:rsidR="006D496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yrillic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BE8C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3C71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8171ED"/>
    <w:multiLevelType w:val="singleLevel"/>
    <w:tmpl w:val="B60ED5FC"/>
    <w:lvl w:ilvl="0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4">
    <w:nsid w:val="08FF3E4A"/>
    <w:multiLevelType w:val="singleLevel"/>
    <w:tmpl w:val="CB4495C0"/>
    <w:lvl w:ilvl="0">
      <w:start w:val="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7D155E5"/>
    <w:multiLevelType w:val="singleLevel"/>
    <w:tmpl w:val="04A0D47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25252B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B83DCB"/>
    <w:multiLevelType w:val="singleLevel"/>
    <w:tmpl w:val="C700BD9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8">
    <w:nsid w:val="31EB49C5"/>
    <w:multiLevelType w:val="singleLevel"/>
    <w:tmpl w:val="CB4495C0"/>
    <w:lvl w:ilvl="0">
      <w:start w:val="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2397743"/>
    <w:multiLevelType w:val="singleLevel"/>
    <w:tmpl w:val="957EA71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yrillic" w:hAnsi="Cyrillic" w:hint="default"/>
      </w:rPr>
    </w:lvl>
  </w:abstractNum>
  <w:abstractNum w:abstractNumId="10">
    <w:nsid w:val="35DA3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E570AF"/>
    <w:multiLevelType w:val="singleLevel"/>
    <w:tmpl w:val="957EA71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yrillic" w:hAnsi="Cyrillic" w:hint="default"/>
      </w:rPr>
    </w:lvl>
  </w:abstractNum>
  <w:abstractNum w:abstractNumId="12">
    <w:nsid w:val="48790C58"/>
    <w:multiLevelType w:val="multilevel"/>
    <w:tmpl w:val="8AB6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494E74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A03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B777C0"/>
    <w:multiLevelType w:val="singleLevel"/>
    <w:tmpl w:val="957EA71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yrillic" w:hAnsi="Cyrillic" w:hint="default"/>
      </w:rPr>
    </w:lvl>
  </w:abstractNum>
  <w:abstractNum w:abstractNumId="16">
    <w:nsid w:val="735B3696"/>
    <w:multiLevelType w:val="singleLevel"/>
    <w:tmpl w:val="B1942C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764869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6FF6701"/>
    <w:multiLevelType w:val="singleLevel"/>
    <w:tmpl w:val="AC7463D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7"/>
  </w:num>
  <w:num w:numId="5">
    <w:abstractNumId w:val="14"/>
  </w:num>
  <w:num w:numId="6">
    <w:abstractNumId w:val="16"/>
  </w:num>
  <w:num w:numId="7">
    <w:abstractNumId w:val="4"/>
  </w:num>
  <w:num w:numId="8">
    <w:abstractNumId w:val="8"/>
  </w:num>
  <w:num w:numId="9">
    <w:abstractNumId w:val="18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20">
    <w:abstractNumId w:val="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965"/>
    <w:rsid w:val="00114E80"/>
    <w:rsid w:val="00526A9E"/>
    <w:rsid w:val="006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AC5DA0D5-C421-44DD-B528-136460F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8">
    <w:name w:val="heading 8"/>
    <w:basedOn w:val="a"/>
    <w:next w:val="a"/>
    <w:qFormat/>
    <w:pPr>
      <w:keepNext/>
      <w:ind w:firstLine="426"/>
      <w:jc w:val="center"/>
      <w:outlineLvl w:val="7"/>
    </w:pPr>
    <w:rPr>
      <w:rFonts w:ascii="Arial" w:hAnsi="Arial"/>
      <w:b/>
      <w:color w:val="00000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425"/>
      <w:jc w:val="both"/>
    </w:pPr>
    <w:rPr>
      <w:sz w:val="32"/>
      <w:lang w:val="ru-RU"/>
    </w:rPr>
  </w:style>
  <w:style w:type="paragraph" w:styleId="3">
    <w:name w:val="Body Text Indent 3"/>
    <w:basedOn w:val="a"/>
    <w:pPr>
      <w:ind w:firstLine="426"/>
      <w:jc w:val="both"/>
    </w:pPr>
    <w:rPr>
      <w:sz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Continental</Company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Alexander V. Nesterenko</dc:creator>
  <cp:keywords/>
  <cp:lastModifiedBy>admin</cp:lastModifiedBy>
  <cp:revision>2</cp:revision>
  <dcterms:created xsi:type="dcterms:W3CDTF">2014-05-18T16:28:00Z</dcterms:created>
  <dcterms:modified xsi:type="dcterms:W3CDTF">2014-05-18T16:28:00Z</dcterms:modified>
</cp:coreProperties>
</file>