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B5B" w:rsidRDefault="00575B5B" w:rsidP="00934DA6">
      <w:pPr>
        <w:pStyle w:val="4"/>
        <w:spacing w:before="0" w:beforeAutospacing="0" w:after="138" w:afterAutospacing="0"/>
        <w:rPr>
          <w:rStyle w:val="apple-style-span"/>
          <w:rFonts w:ascii="Arial" w:hAnsi="Arial" w:cs="Arial"/>
          <w:b w:val="0"/>
          <w:bCs w:val="0"/>
          <w:color w:val="000000"/>
          <w:sz w:val="28"/>
          <w:szCs w:val="28"/>
        </w:rPr>
      </w:pPr>
    </w:p>
    <w:p w:rsidR="00A52079" w:rsidRPr="008D71E1" w:rsidRDefault="00A52079" w:rsidP="00934DA6">
      <w:pPr>
        <w:pStyle w:val="4"/>
        <w:spacing w:before="0" w:beforeAutospacing="0" w:after="138" w:afterAutospacing="0"/>
        <w:rPr>
          <w:rFonts w:ascii="Georgia" w:hAnsi="Georgia"/>
          <w:color w:val="444444"/>
          <w:sz w:val="28"/>
          <w:szCs w:val="28"/>
        </w:rPr>
      </w:pPr>
      <w:r w:rsidRPr="008D71E1">
        <w:rPr>
          <w:rStyle w:val="apple-style-span"/>
          <w:rFonts w:ascii="Arial" w:hAnsi="Arial" w:cs="Arial"/>
          <w:b w:val="0"/>
          <w:bCs w:val="0"/>
          <w:color w:val="000000"/>
          <w:sz w:val="28"/>
          <w:szCs w:val="28"/>
        </w:rPr>
        <w:t>Га́дамер Ганс-Георг</w:t>
      </w:r>
      <w:r w:rsidRPr="008D71E1">
        <w:rPr>
          <w:rStyle w:val="apple-converted-space"/>
          <w:rFonts w:ascii="Arial" w:hAnsi="Arial" w:cs="Arial"/>
          <w:color w:val="000000"/>
          <w:sz w:val="28"/>
          <w:szCs w:val="28"/>
        </w:rPr>
        <w:t> </w:t>
      </w:r>
      <w:r w:rsidRPr="008D71E1">
        <w:rPr>
          <w:rStyle w:val="apple-style-span"/>
          <w:rFonts w:ascii="Arial" w:hAnsi="Arial" w:cs="Arial"/>
          <w:color w:val="000000"/>
          <w:sz w:val="28"/>
          <w:szCs w:val="28"/>
        </w:rPr>
        <w:t>(</w:t>
      </w:r>
      <w:hyperlink r:id="rId4" w:tooltip="Немецкий язык" w:history="1">
        <w:r w:rsidRPr="008D71E1">
          <w:rPr>
            <w:rStyle w:val="a3"/>
            <w:rFonts w:ascii="Arial" w:hAnsi="Arial" w:cs="Arial"/>
            <w:color w:val="0645AD"/>
            <w:sz w:val="28"/>
            <w:szCs w:val="28"/>
            <w:u w:val="none"/>
          </w:rPr>
          <w:t>нем.</w:t>
        </w:r>
      </w:hyperlink>
      <w:r w:rsidRPr="008D71E1">
        <w:rPr>
          <w:rStyle w:val="apple-style-span"/>
          <w:rFonts w:ascii="Arial" w:hAnsi="Arial" w:cs="Arial"/>
          <w:color w:val="000000"/>
          <w:sz w:val="28"/>
          <w:szCs w:val="28"/>
        </w:rPr>
        <w:t> </w:t>
      </w:r>
      <w:r w:rsidRPr="008D71E1">
        <w:rPr>
          <w:rStyle w:val="apple-style-span"/>
          <w:rFonts w:ascii="Arial" w:hAnsi="Arial" w:cs="Arial"/>
          <w:i/>
          <w:iCs/>
          <w:color w:val="000000"/>
          <w:sz w:val="28"/>
          <w:szCs w:val="28"/>
          <w:lang w:val="de-DE"/>
        </w:rPr>
        <w:t>Hans-Georg Gadamer</w:t>
      </w:r>
      <w:r w:rsidRPr="008D71E1">
        <w:rPr>
          <w:rStyle w:val="apple-style-span"/>
          <w:rFonts w:ascii="Arial" w:hAnsi="Arial" w:cs="Arial"/>
          <w:color w:val="000000"/>
          <w:sz w:val="28"/>
          <w:szCs w:val="28"/>
        </w:rPr>
        <w:t>;</w:t>
      </w:r>
      <w:r w:rsidRPr="008D71E1">
        <w:rPr>
          <w:rStyle w:val="apple-converted-space"/>
          <w:rFonts w:ascii="Arial" w:hAnsi="Arial" w:cs="Arial"/>
          <w:color w:val="000000"/>
          <w:sz w:val="28"/>
          <w:szCs w:val="28"/>
        </w:rPr>
        <w:t> </w:t>
      </w:r>
      <w:hyperlink r:id="rId5" w:tooltip="11 февраля" w:history="1">
        <w:r w:rsidRPr="008D71E1">
          <w:rPr>
            <w:rStyle w:val="a3"/>
            <w:rFonts w:ascii="Arial" w:hAnsi="Arial" w:cs="Arial"/>
            <w:color w:val="0645AD"/>
            <w:sz w:val="28"/>
            <w:szCs w:val="28"/>
            <w:u w:val="none"/>
          </w:rPr>
          <w:t>11 февраля</w:t>
        </w:r>
      </w:hyperlink>
      <w:r w:rsidRPr="008D71E1">
        <w:rPr>
          <w:rStyle w:val="apple-converted-space"/>
          <w:rFonts w:ascii="Arial" w:hAnsi="Arial" w:cs="Arial"/>
          <w:color w:val="000000"/>
          <w:sz w:val="28"/>
          <w:szCs w:val="28"/>
        </w:rPr>
        <w:t> </w:t>
      </w:r>
      <w:hyperlink r:id="rId6" w:tooltip="1900" w:history="1">
        <w:r w:rsidRPr="008D71E1">
          <w:rPr>
            <w:rStyle w:val="a3"/>
            <w:rFonts w:ascii="Arial" w:hAnsi="Arial" w:cs="Arial"/>
            <w:color w:val="0645AD"/>
            <w:sz w:val="28"/>
            <w:szCs w:val="28"/>
            <w:u w:val="none"/>
          </w:rPr>
          <w:t>1900</w:t>
        </w:r>
      </w:hyperlink>
      <w:r w:rsidRPr="008D71E1">
        <w:rPr>
          <w:rStyle w:val="apple-style-span"/>
          <w:rFonts w:ascii="Arial" w:hAnsi="Arial" w:cs="Arial"/>
          <w:color w:val="000000"/>
          <w:sz w:val="28"/>
          <w:szCs w:val="28"/>
        </w:rPr>
        <w:t>,</w:t>
      </w:r>
      <w:r w:rsidRPr="008D71E1">
        <w:rPr>
          <w:rStyle w:val="apple-converted-space"/>
          <w:rFonts w:ascii="Arial" w:hAnsi="Arial" w:cs="Arial"/>
          <w:color w:val="000000"/>
          <w:sz w:val="28"/>
          <w:szCs w:val="28"/>
        </w:rPr>
        <w:t> </w:t>
      </w:r>
      <w:hyperlink r:id="rId7" w:tooltip="Марбург" w:history="1">
        <w:r w:rsidRPr="008D71E1">
          <w:rPr>
            <w:rStyle w:val="a3"/>
            <w:rFonts w:ascii="Arial" w:hAnsi="Arial" w:cs="Arial"/>
            <w:color w:val="0645AD"/>
            <w:sz w:val="28"/>
            <w:szCs w:val="28"/>
            <w:u w:val="none"/>
          </w:rPr>
          <w:t>Марбург</w:t>
        </w:r>
      </w:hyperlink>
      <w:r w:rsidRPr="008D71E1">
        <w:rPr>
          <w:rStyle w:val="apple-style-span"/>
          <w:rFonts w:ascii="Arial" w:hAnsi="Arial" w:cs="Arial"/>
          <w:color w:val="000000"/>
          <w:sz w:val="28"/>
          <w:szCs w:val="28"/>
        </w:rPr>
        <w:t> —</w:t>
      </w:r>
      <w:r w:rsidRPr="008D71E1">
        <w:rPr>
          <w:rStyle w:val="apple-converted-space"/>
          <w:rFonts w:ascii="Arial" w:hAnsi="Arial" w:cs="Arial"/>
          <w:color w:val="000000"/>
          <w:sz w:val="28"/>
          <w:szCs w:val="28"/>
        </w:rPr>
        <w:t> </w:t>
      </w:r>
      <w:hyperlink r:id="rId8" w:tooltip="12 марта" w:history="1">
        <w:r w:rsidRPr="008D71E1">
          <w:rPr>
            <w:rStyle w:val="a3"/>
            <w:rFonts w:ascii="Arial" w:hAnsi="Arial" w:cs="Arial"/>
            <w:color w:val="0645AD"/>
            <w:sz w:val="28"/>
            <w:szCs w:val="28"/>
            <w:u w:val="none"/>
          </w:rPr>
          <w:t>12 марта</w:t>
        </w:r>
      </w:hyperlink>
      <w:hyperlink r:id="rId9" w:tooltip="2002" w:history="1">
        <w:r w:rsidRPr="008D71E1">
          <w:rPr>
            <w:rStyle w:val="a3"/>
            <w:rFonts w:ascii="Arial" w:hAnsi="Arial" w:cs="Arial"/>
            <w:color w:val="0645AD"/>
            <w:sz w:val="28"/>
            <w:szCs w:val="28"/>
            <w:u w:val="none"/>
          </w:rPr>
          <w:t>2002</w:t>
        </w:r>
      </w:hyperlink>
      <w:r w:rsidRPr="008D71E1">
        <w:rPr>
          <w:rStyle w:val="apple-style-span"/>
          <w:rFonts w:ascii="Arial" w:hAnsi="Arial" w:cs="Arial"/>
          <w:color w:val="000000"/>
          <w:sz w:val="28"/>
          <w:szCs w:val="28"/>
        </w:rPr>
        <w:t>,</w:t>
      </w:r>
      <w:r w:rsidRPr="008D71E1">
        <w:rPr>
          <w:rStyle w:val="apple-converted-space"/>
          <w:rFonts w:ascii="Arial" w:hAnsi="Arial" w:cs="Arial"/>
          <w:color w:val="000000"/>
          <w:sz w:val="28"/>
          <w:szCs w:val="28"/>
        </w:rPr>
        <w:t> </w:t>
      </w:r>
      <w:hyperlink r:id="rId10" w:tooltip="Гейдельберг" w:history="1">
        <w:r w:rsidRPr="008D71E1">
          <w:rPr>
            <w:rStyle w:val="a3"/>
            <w:rFonts w:ascii="Arial" w:hAnsi="Arial" w:cs="Arial"/>
            <w:color w:val="0645AD"/>
            <w:sz w:val="28"/>
            <w:szCs w:val="28"/>
            <w:u w:val="none"/>
          </w:rPr>
          <w:t>Гейдельберг</w:t>
        </w:r>
      </w:hyperlink>
      <w:r w:rsidRPr="008D71E1">
        <w:rPr>
          <w:rStyle w:val="apple-style-span"/>
          <w:rFonts w:ascii="Arial" w:hAnsi="Arial" w:cs="Arial"/>
          <w:color w:val="000000"/>
          <w:sz w:val="28"/>
          <w:szCs w:val="28"/>
        </w:rPr>
        <w:t>) — немецкий философ, один из самых значительных мыслителей второй половины XX в.,</w:t>
      </w:r>
      <w:r w:rsidRPr="008D71E1">
        <w:rPr>
          <w:rFonts w:ascii="Georgia" w:hAnsi="Georgia"/>
          <w:color w:val="444444"/>
          <w:sz w:val="28"/>
          <w:szCs w:val="28"/>
        </w:rPr>
        <w:t xml:space="preserve"> Изучал философию, классическую филологию, германистику и историю искусства,</w:t>
      </w:r>
      <w:r w:rsidRPr="008D71E1">
        <w:rPr>
          <w:rStyle w:val="apple-style-span"/>
          <w:rFonts w:ascii="Arial" w:hAnsi="Arial" w:cs="Arial"/>
          <w:color w:val="000000"/>
          <w:sz w:val="28"/>
          <w:szCs w:val="28"/>
        </w:rPr>
        <w:t xml:space="preserve"> известен прежде всего как основатель «</w:t>
      </w:r>
      <w:hyperlink r:id="rId11" w:tooltip="Герменевтика" w:history="1">
        <w:r w:rsidRPr="008D71E1">
          <w:rPr>
            <w:rStyle w:val="a3"/>
            <w:rFonts w:ascii="Arial" w:hAnsi="Arial" w:cs="Arial"/>
            <w:color w:val="0645AD"/>
            <w:sz w:val="28"/>
            <w:szCs w:val="28"/>
            <w:u w:val="none"/>
          </w:rPr>
          <w:t>философской герменевтики</w:t>
        </w:r>
      </w:hyperlink>
      <w:r w:rsidRPr="008D71E1">
        <w:rPr>
          <w:rStyle w:val="apple-style-span"/>
          <w:rFonts w:ascii="Arial" w:hAnsi="Arial" w:cs="Arial"/>
          <w:color w:val="000000"/>
          <w:sz w:val="28"/>
          <w:szCs w:val="28"/>
        </w:rPr>
        <w:t>».</w:t>
      </w:r>
      <w:r w:rsidRPr="008D71E1">
        <w:rPr>
          <w:rFonts w:ascii="Georgia" w:hAnsi="Georgia"/>
          <w:b w:val="0"/>
          <w:bCs w:val="0"/>
          <w:color w:val="333333"/>
          <w:sz w:val="28"/>
          <w:szCs w:val="28"/>
        </w:rPr>
        <w:t xml:space="preserve"> </w:t>
      </w:r>
    </w:p>
    <w:p w:rsidR="00A52079" w:rsidRPr="008D71E1" w:rsidRDefault="00A52079" w:rsidP="00934DA6">
      <w:pPr>
        <w:pStyle w:val="a4"/>
        <w:spacing w:before="0" w:beforeAutospacing="0" w:after="115" w:afterAutospacing="0" w:line="207" w:lineRule="atLeast"/>
        <w:rPr>
          <w:rFonts w:ascii="Georgia" w:hAnsi="Georgia"/>
          <w:color w:val="444444"/>
          <w:sz w:val="28"/>
          <w:szCs w:val="28"/>
        </w:rPr>
      </w:pPr>
      <w:r w:rsidRPr="008D71E1">
        <w:rPr>
          <w:rFonts w:ascii="Georgia" w:hAnsi="Georgia"/>
          <w:color w:val="444444"/>
          <w:sz w:val="28"/>
          <w:szCs w:val="28"/>
        </w:rPr>
        <w:t>Всемирную известность принесла Гадамеру работа</w:t>
      </w:r>
      <w:r w:rsidRPr="008D71E1">
        <w:rPr>
          <w:rStyle w:val="apple-converted-space"/>
          <w:rFonts w:ascii="Georgia" w:hAnsi="Georgia"/>
          <w:color w:val="444444"/>
          <w:sz w:val="28"/>
          <w:szCs w:val="28"/>
        </w:rPr>
        <w:t> </w:t>
      </w:r>
      <w:r w:rsidRPr="008D71E1">
        <w:rPr>
          <w:rFonts w:ascii="Georgia" w:hAnsi="Georgia"/>
          <w:i/>
          <w:iCs/>
          <w:color w:val="444444"/>
          <w:sz w:val="28"/>
          <w:szCs w:val="28"/>
        </w:rPr>
        <w:t>Истина и метод. Основные черты философской герменевтики</w:t>
      </w:r>
      <w:r w:rsidRPr="008D71E1">
        <w:rPr>
          <w:rStyle w:val="apple-converted-space"/>
          <w:rFonts w:ascii="Georgia" w:hAnsi="Georgia"/>
          <w:color w:val="444444"/>
          <w:sz w:val="28"/>
          <w:szCs w:val="28"/>
        </w:rPr>
        <w:t> </w:t>
      </w:r>
      <w:r w:rsidRPr="008D71E1">
        <w:rPr>
          <w:rFonts w:ascii="Georgia" w:hAnsi="Georgia"/>
          <w:color w:val="444444"/>
          <w:sz w:val="28"/>
          <w:szCs w:val="28"/>
        </w:rPr>
        <w:t>(</w:t>
      </w:r>
      <w:r w:rsidRPr="008D71E1">
        <w:rPr>
          <w:rFonts w:ascii="Georgia" w:hAnsi="Georgia"/>
          <w:i/>
          <w:iCs/>
          <w:color w:val="444444"/>
          <w:sz w:val="28"/>
          <w:szCs w:val="28"/>
        </w:rPr>
        <w:t>Wahrheit und Methode</w:t>
      </w:r>
      <w:r w:rsidRPr="008D71E1">
        <w:rPr>
          <w:rStyle w:val="apple-converted-space"/>
          <w:rFonts w:ascii="Georgia" w:hAnsi="Georgia"/>
          <w:color w:val="444444"/>
          <w:sz w:val="28"/>
          <w:szCs w:val="28"/>
        </w:rPr>
        <w:t> </w:t>
      </w:r>
      <w:r w:rsidRPr="008D71E1">
        <w:rPr>
          <w:rFonts w:ascii="Georgia" w:hAnsi="Georgia"/>
          <w:color w:val="444444"/>
          <w:sz w:val="28"/>
          <w:szCs w:val="28"/>
        </w:rPr>
        <w:t>(</w:t>
      </w:r>
      <w:r w:rsidRPr="008D71E1">
        <w:rPr>
          <w:rFonts w:ascii="Georgia" w:hAnsi="Georgia"/>
          <w:i/>
          <w:iCs/>
          <w:color w:val="444444"/>
          <w:sz w:val="28"/>
          <w:szCs w:val="28"/>
        </w:rPr>
        <w:t>Truth and Method</w:t>
      </w:r>
      <w:r w:rsidRPr="008D71E1">
        <w:rPr>
          <w:rFonts w:ascii="Georgia" w:hAnsi="Georgia"/>
          <w:color w:val="444444"/>
          <w:sz w:val="28"/>
          <w:szCs w:val="28"/>
        </w:rPr>
        <w:t>), 1960), где он попытался связать воедино «герменевтику фактичности» Хайдеггера с герменевтической традицией 17–18 вв. Вслед за Хайдеггером Гадамер трактует феномен понимания не как инструментально-логический акт, а как способ человеческого бытия. Отсюда радикальный пересмотр задач герменевтики, в том числе ревизия концепций</w:t>
      </w:r>
      <w:r w:rsidRPr="008D71E1">
        <w:rPr>
          <w:rStyle w:val="apple-converted-space"/>
          <w:rFonts w:ascii="Georgia" w:hAnsi="Georgia"/>
          <w:color w:val="444444"/>
          <w:sz w:val="28"/>
          <w:szCs w:val="28"/>
        </w:rPr>
        <w:t> </w:t>
      </w:r>
      <w:r w:rsidRPr="008D71E1">
        <w:rPr>
          <w:rFonts w:ascii="Georgia" w:hAnsi="Georgia"/>
          <w:color w:val="444444"/>
          <w:sz w:val="28"/>
          <w:szCs w:val="28"/>
        </w:rPr>
        <w:t>Шлейермахера и</w:t>
      </w:r>
      <w:r w:rsidRPr="008D71E1">
        <w:rPr>
          <w:rStyle w:val="apple-converted-space"/>
          <w:rFonts w:ascii="Georgia" w:hAnsi="Georgia"/>
          <w:color w:val="444444"/>
          <w:sz w:val="28"/>
          <w:szCs w:val="28"/>
        </w:rPr>
        <w:t> </w:t>
      </w:r>
      <w:r w:rsidRPr="008D71E1">
        <w:rPr>
          <w:rFonts w:ascii="Georgia" w:hAnsi="Georgia"/>
          <w:color w:val="444444"/>
          <w:sz w:val="28"/>
          <w:szCs w:val="28"/>
        </w:rPr>
        <w:t>Дильтея</w:t>
      </w:r>
      <w:r w:rsidRPr="008D71E1">
        <w:rPr>
          <w:rFonts w:ascii="Georgia" w:hAnsi="Georgia"/>
          <w:i/>
          <w:iCs/>
          <w:color w:val="444444"/>
          <w:sz w:val="28"/>
          <w:szCs w:val="28"/>
        </w:rPr>
        <w:t>.</w:t>
      </w:r>
      <w:r w:rsidRPr="008D71E1">
        <w:rPr>
          <w:rStyle w:val="apple-converted-space"/>
          <w:rFonts w:ascii="Georgia" w:hAnsi="Georgia"/>
          <w:i/>
          <w:iCs/>
          <w:color w:val="444444"/>
          <w:sz w:val="28"/>
          <w:szCs w:val="28"/>
        </w:rPr>
        <w:t> </w:t>
      </w:r>
      <w:r w:rsidRPr="008D71E1">
        <w:rPr>
          <w:rFonts w:ascii="Georgia" w:hAnsi="Georgia"/>
          <w:color w:val="444444"/>
          <w:sz w:val="28"/>
          <w:szCs w:val="28"/>
        </w:rPr>
        <w:t>Герменевтика – не искусство истолкования (как это было у Шлейермахера) и не метод познания (как у Дильтея), а исследование условий, при которых возможно понимание. Развивая хайдеггеровскую мысль о человеческом бытии как бытии в мире и о «пред-истолкованности» мира в дотеоретических структурах ориентации в нем, Гадамер ведет речь о «предпонимании», которое конкретизируется им как «пред-рассудок». «Предрассудки» (равно как и «традиция» и «авторитет») не только не препятствуют пониманию, но и составляют необходимый его момент.</w:t>
      </w:r>
    </w:p>
    <w:p w:rsidR="00A52079" w:rsidRPr="008D71E1" w:rsidRDefault="00A52079" w:rsidP="00934DA6">
      <w:pPr>
        <w:pStyle w:val="a4"/>
        <w:spacing w:before="0" w:beforeAutospacing="0" w:after="115" w:afterAutospacing="0" w:line="207" w:lineRule="atLeast"/>
        <w:rPr>
          <w:rFonts w:ascii="Georgia" w:hAnsi="Georgia"/>
          <w:color w:val="444444"/>
          <w:sz w:val="28"/>
          <w:szCs w:val="28"/>
        </w:rPr>
      </w:pPr>
      <w:r w:rsidRPr="008D71E1">
        <w:rPr>
          <w:rFonts w:ascii="Georgia" w:hAnsi="Georgia"/>
          <w:color w:val="444444"/>
          <w:sz w:val="28"/>
          <w:szCs w:val="28"/>
        </w:rPr>
        <w:t>«Герменевтический круг», известный как основная трудность процесса интерпретации, носит, по Гадамеру, не методологический, а онтологический характер, и продиктован взаимообусловленностью и взаимодействием между «предпониманием» и текстом. К смыслу текста как некоторого целого мы идем через понимание его отдельных частей; но чтобы понять смысл части, уже необходимо определенным образом понимать целое, т.е. обладать его «предпониманием». Как бы упреждая упрек в субъективизме и релятивизме, Гадамер говорит о</w:t>
      </w:r>
      <w:r w:rsidRPr="008D71E1">
        <w:rPr>
          <w:rStyle w:val="apple-converted-space"/>
          <w:rFonts w:ascii="Georgia" w:hAnsi="Georgia"/>
          <w:color w:val="444444"/>
          <w:sz w:val="28"/>
          <w:szCs w:val="28"/>
        </w:rPr>
        <w:t> </w:t>
      </w:r>
      <w:r w:rsidRPr="008D71E1">
        <w:rPr>
          <w:rFonts w:ascii="Georgia" w:hAnsi="Georgia"/>
          <w:i/>
          <w:iCs/>
          <w:color w:val="444444"/>
          <w:sz w:val="28"/>
          <w:szCs w:val="28"/>
        </w:rPr>
        <w:t>диалогической</w:t>
      </w:r>
      <w:r>
        <w:rPr>
          <w:rFonts w:ascii="Georgia" w:hAnsi="Georgia"/>
          <w:i/>
          <w:iCs/>
          <w:color w:val="444444"/>
          <w:sz w:val="28"/>
          <w:szCs w:val="28"/>
        </w:rPr>
        <w:t xml:space="preserve"> </w:t>
      </w:r>
      <w:r w:rsidRPr="008D71E1">
        <w:rPr>
          <w:rFonts w:ascii="Georgia" w:hAnsi="Georgia"/>
          <w:color w:val="444444"/>
          <w:sz w:val="28"/>
          <w:szCs w:val="28"/>
        </w:rPr>
        <w:t>структуре процесса понимания. Понимание возможно через диалог. Будучи диалогом, беседой, оно имеет вопросно-ответную структуру: понять текст – значит понять вопрос, который этот текст ставит. Но понять вопрос можно лишь в том случае, если мы сами умеем им задаться. Поэтому вторым шагом будет отнести этот вопрос к себе, что ведет к критической проверке нашего «предпонимания». Понимание всегда осуществляется в процессе «слияния горизонтов» интерпретатора и текста, причем интерпретатор не выходит из этого процесса незатронутым, его смысловой горизонт тоже претерпевает изменения.</w:t>
      </w:r>
    </w:p>
    <w:p w:rsidR="00A52079" w:rsidRPr="008D71E1" w:rsidRDefault="00A52079" w:rsidP="00934DA6">
      <w:pPr>
        <w:pStyle w:val="a4"/>
        <w:spacing w:before="0" w:beforeAutospacing="0" w:after="115" w:afterAutospacing="0" w:line="207" w:lineRule="atLeast"/>
        <w:rPr>
          <w:rFonts w:ascii="Georgia" w:hAnsi="Georgia"/>
          <w:color w:val="444444"/>
          <w:sz w:val="28"/>
          <w:szCs w:val="28"/>
        </w:rPr>
      </w:pPr>
      <w:r w:rsidRPr="008D71E1">
        <w:rPr>
          <w:rFonts w:ascii="Georgia" w:hAnsi="Georgia"/>
          <w:color w:val="444444"/>
          <w:sz w:val="28"/>
          <w:szCs w:val="28"/>
        </w:rPr>
        <w:t xml:space="preserve">В последовательном противостоянии редукции герменевтики к разработке методологии интерпретации текстов (Э. Бетти, Е.Д.Хирш), Гадамер выдвигает понятие «действенной истории» (Wirkungsgeschichte), которая заключается, с одной стороны, в определенности всякого акта истолкования текста предшествующей историей (традицией) его интерпретаций, а с другой стороны, во </w:t>
      </w:r>
      <w:r w:rsidRPr="0077548B">
        <w:rPr>
          <w:rFonts w:ascii="Georgia" w:hAnsi="Georgia"/>
          <w:color w:val="FF0000"/>
          <w:sz w:val="28"/>
          <w:szCs w:val="28"/>
        </w:rPr>
        <w:t>включенности этого акта в традицию.</w:t>
      </w:r>
    </w:p>
    <w:p w:rsidR="00A52079" w:rsidRDefault="00A52079" w:rsidP="00934DA6">
      <w:pPr>
        <w:pStyle w:val="a4"/>
        <w:spacing w:before="0" w:beforeAutospacing="0" w:after="115" w:afterAutospacing="0" w:line="207" w:lineRule="atLeast"/>
        <w:rPr>
          <w:rFonts w:ascii="Georgia" w:hAnsi="Georgia"/>
          <w:color w:val="444444"/>
          <w:sz w:val="28"/>
          <w:szCs w:val="28"/>
        </w:rPr>
      </w:pPr>
      <w:r w:rsidRPr="008D71E1">
        <w:rPr>
          <w:rFonts w:ascii="Georgia" w:hAnsi="Georgia"/>
          <w:color w:val="444444"/>
          <w:sz w:val="28"/>
          <w:szCs w:val="28"/>
        </w:rPr>
        <w:t>Парадигматическое значение для герменевтического опыта имеет «опыт искусства». В противовес концепции «эстетического суждения»</w:t>
      </w:r>
      <w:r w:rsidRPr="008D71E1">
        <w:rPr>
          <w:rStyle w:val="apple-converted-space"/>
          <w:rFonts w:ascii="Georgia" w:hAnsi="Georgia"/>
          <w:color w:val="444444"/>
          <w:sz w:val="28"/>
          <w:szCs w:val="28"/>
        </w:rPr>
        <w:t> </w:t>
      </w:r>
      <w:r w:rsidRPr="008D71E1">
        <w:rPr>
          <w:rFonts w:ascii="Georgia" w:hAnsi="Georgia"/>
          <w:color w:val="444444"/>
          <w:sz w:val="28"/>
          <w:szCs w:val="28"/>
        </w:rPr>
        <w:t>Канта, Гадамер вслед за</w:t>
      </w:r>
      <w:r w:rsidRPr="008D71E1">
        <w:rPr>
          <w:rStyle w:val="apple-converted-space"/>
          <w:rFonts w:ascii="Georgia" w:hAnsi="Georgia"/>
          <w:color w:val="444444"/>
          <w:sz w:val="28"/>
          <w:szCs w:val="28"/>
        </w:rPr>
        <w:t> </w:t>
      </w:r>
      <w:r w:rsidRPr="008D71E1">
        <w:rPr>
          <w:rFonts w:ascii="Georgia" w:hAnsi="Georgia"/>
          <w:color w:val="444444"/>
          <w:sz w:val="28"/>
          <w:szCs w:val="28"/>
        </w:rPr>
        <w:t>Гегелем трактует искусство как способ познания, как самостоятельный «опыт истины». Апелляция к Гегелю необходима Гадамеру для заострения своего расхождения со Шлейермахером: задача герменевтики заключается не просто в «реконструировании», а в известном смысле в «конструировании» – во включении опыта истины, переживаемого благодаря произведению искусства, в структуру опыта интерпретатора. Однако союз философской герменевтики с философией Гегеля непрочен. Исходный пункт Гегеля – самопознание абсолютного духа, т.е. бесконечная мощь рефлективного сознания, тогда как Гадамер отправляется от принципиальной конечности человека и его рефлективных усилий. Гадамер отрицает поэтому и возможность «снятия» менее совершенных форм культурных образований более совершенными. Традиция дана человеку в первую очередь и по преимуществу как языковая. Мы «живем в традиции» в той мере, в какой мы «живем в языке». Как и Хайдеггер, Гадамер рассматривает язык не в качестве инструмента или знака того или иного произвольно избираемого содержания, а как «медиум» раскрытия бытия. Универсальность языка как медиума влечет за собой универсальность герменевтики. Отсюда вытекает знаменитый тезис Гадамера: «Бытие, которое может быть понято, есть язык». В полном соответствии со своим тезисом, что герменевтика – прежде всего практика, Гадамер выступает как практикующий интерпретатор, беря в качестве предмета и историю философии (Платон,Аристотель, Гегель,</w:t>
      </w:r>
      <w:r w:rsidRPr="008D71E1">
        <w:rPr>
          <w:rStyle w:val="apple-converted-space"/>
          <w:rFonts w:ascii="Georgia" w:hAnsi="Georgia"/>
          <w:color w:val="444444"/>
          <w:sz w:val="28"/>
          <w:szCs w:val="28"/>
        </w:rPr>
        <w:t> </w:t>
      </w:r>
      <w:r w:rsidRPr="008D71E1">
        <w:rPr>
          <w:rFonts w:ascii="Georgia" w:hAnsi="Georgia"/>
          <w:color w:val="444444"/>
          <w:sz w:val="28"/>
          <w:szCs w:val="28"/>
        </w:rPr>
        <w:t>Гуссерль, Хайдеггер), и историю литературы (Гёте,Рильке, Гёльдерлин, Пауль Целан).</w:t>
      </w:r>
    </w:p>
    <w:p w:rsidR="00A52079" w:rsidRPr="008D71E1" w:rsidRDefault="00A52079" w:rsidP="00FC2047">
      <w:pPr>
        <w:pStyle w:val="a4"/>
        <w:ind w:left="115" w:right="115" w:firstLine="230"/>
        <w:jc w:val="both"/>
        <w:rPr>
          <w:rFonts w:ascii="Verdana" w:hAnsi="Verdana"/>
          <w:color w:val="000000"/>
          <w:sz w:val="28"/>
          <w:szCs w:val="28"/>
        </w:rPr>
      </w:pPr>
      <w:r w:rsidRPr="00ED48FC">
        <w:rPr>
          <w:rFonts w:ascii="Verdana" w:hAnsi="Verdana"/>
          <w:color w:val="000000"/>
          <w:sz w:val="28"/>
          <w:szCs w:val="28"/>
          <w:highlight w:val="yellow"/>
        </w:rPr>
        <w:t>Герменевтическая проблема</w:t>
      </w:r>
      <w:r w:rsidRPr="008D71E1">
        <w:rPr>
          <w:rFonts w:ascii="Verdana" w:hAnsi="Verdana"/>
          <w:color w:val="000000"/>
          <w:sz w:val="28"/>
          <w:szCs w:val="28"/>
        </w:rPr>
        <w:t xml:space="preserve"> состоит, таким образом, вовсе не в правильном пользовании языком, но в истинном взаимопонимании по тому или иному поводу, осуществляемом в среде языка". Тема языка и мира, "жизненного мира", очень важна для Гадамера. Исследователи справедливо отмечают, что у Гадамера, с одной стороны, встречаются высказывания в духе языкового солипсизма ("Языковой опыт мира "абсолютен""), но что, с другой стороны, "абсолютизация" языка объясняется онтологической исследовательской установкой, согласно которой мир, действия человека, события выражаются в языке, превращающемся в "самостоятельное инобытие".</w:t>
      </w:r>
    </w:p>
    <w:p w:rsidR="00A52079" w:rsidRPr="008D71E1" w:rsidRDefault="00A52079" w:rsidP="00FC2047">
      <w:pPr>
        <w:pStyle w:val="a4"/>
        <w:ind w:left="115" w:right="115" w:firstLine="230"/>
        <w:jc w:val="both"/>
        <w:rPr>
          <w:rFonts w:ascii="Verdana" w:hAnsi="Verdana"/>
          <w:color w:val="000000"/>
          <w:sz w:val="28"/>
          <w:szCs w:val="28"/>
        </w:rPr>
      </w:pPr>
      <w:r w:rsidRPr="008D71E1">
        <w:rPr>
          <w:rFonts w:ascii="Verdana" w:hAnsi="Verdana"/>
          <w:color w:val="000000"/>
          <w:sz w:val="28"/>
          <w:szCs w:val="28"/>
        </w:rPr>
        <w:t>Развивая идеи Дильтея, Гуссерля, Хайдеггера, Гадамер возводит герменевтику как философское учение к истокам человеческой жизни, к самой человеческой сущности. Мо</w:t>
      </w:r>
      <w:r>
        <w:rPr>
          <w:rFonts w:ascii="Verdana" w:hAnsi="Verdana"/>
          <w:color w:val="000000"/>
          <w:sz w:val="28"/>
          <w:szCs w:val="28"/>
        </w:rPr>
        <w:t>жно по-разному отличать челове</w:t>
      </w:r>
      <w:r w:rsidRPr="008D71E1">
        <w:rPr>
          <w:rFonts w:ascii="Verdana" w:hAnsi="Verdana"/>
          <w:color w:val="000000"/>
          <w:sz w:val="28"/>
          <w:szCs w:val="28"/>
        </w:rPr>
        <w:t>ка от животных, рассуждает Гадамер, но сам человек выделяет себя из животного мира главным образом благодаря "свободному выбору" (еще древние греки, напоминает философ, ввели для его обозначения понятие "прохерезис"). Но едва зафиксировав это качество человеческой сущности, о котором издревле размышляли философы, Гадамер истолковывает его нетрадиционно. О свободе философы имели обыкновение повествовать в торжественно-приподнятых тонах, отмечая, правда, что свободный выбор дается трудно и требует от человека особых практических и духовно-нравственных усилий; Гадамер же с самого начала расшифровывает свободный выбор через понятия Vorurteil, Vor-verstandnis, благодаря которым свобода сразу предстает в диалектическом единстве с не-свободой.</w:t>
      </w:r>
    </w:p>
    <w:p w:rsidR="00A52079" w:rsidRPr="008D71E1" w:rsidRDefault="00A52079" w:rsidP="00FC2047">
      <w:pPr>
        <w:pStyle w:val="a4"/>
        <w:ind w:left="115" w:right="115" w:firstLine="230"/>
        <w:jc w:val="both"/>
        <w:rPr>
          <w:rFonts w:ascii="Verdana" w:hAnsi="Verdana"/>
          <w:color w:val="000000"/>
          <w:sz w:val="28"/>
          <w:szCs w:val="28"/>
        </w:rPr>
      </w:pPr>
      <w:r w:rsidRPr="008D71E1">
        <w:rPr>
          <w:rFonts w:ascii="Verdana" w:hAnsi="Verdana"/>
          <w:color w:val="000000"/>
          <w:sz w:val="28"/>
          <w:szCs w:val="28"/>
        </w:rPr>
        <w:t>Привычный перевод немецкого слова Vorurteil на русский язык - "предрассудок". Гадамер дает этому слову более широкое толкование. Vor-urteil (от: "vor" - перед чем-то и "Urteil" - суждение) в контексте гадамеровской герменевтики означает сложный духовный комплекс "преднастроенности" по отношению к любому предмету, делу, явлению, человеку, о которых мы выносим какое бы то ни было суждение. Классическая традиция признавала это, но сводила все именно к предрассудкам, "идолам", ложным понятиям, от которых можно и необходимо избавиться. По мысли Гадамера, простое "отбрасывание" Vor-urteil совершенно невозможно, ибо в их наличии и власти над человеком проявляется социально-исторический характер жизни индивида. Неверно сводить пред-суждение и пред-понимание к простейшим интуициям, чисто индивидуальным переживаниям. "Задолго до того, как мы осуществляем рефлективное самоосмысление, мы само собой разумеющимся образом понимаем самих себя как живущих в семье, обществе, государстве... Вот почему пред-суждения индивида-в куда большей мере чем суждения - выступают как историческая действительность человеческого бытия".</w:t>
      </w:r>
    </w:p>
    <w:p w:rsidR="00A52079" w:rsidRPr="00FC2047" w:rsidRDefault="00A52079" w:rsidP="00FC2047">
      <w:pPr>
        <w:pStyle w:val="a4"/>
        <w:ind w:left="115" w:right="115" w:firstLine="230"/>
        <w:jc w:val="both"/>
        <w:rPr>
          <w:rFonts w:ascii="Verdana" w:hAnsi="Verdana"/>
          <w:color w:val="000000"/>
          <w:sz w:val="28"/>
          <w:szCs w:val="28"/>
        </w:rPr>
      </w:pPr>
      <w:r w:rsidRPr="008D71E1">
        <w:rPr>
          <w:rFonts w:ascii="Verdana" w:hAnsi="Verdana"/>
          <w:color w:val="000000"/>
          <w:sz w:val="28"/>
          <w:szCs w:val="28"/>
        </w:rPr>
        <w:t>Аналогичным образом обстоит дело с пред-пониманием (Vor-verstandnis). Еще до того, как человек рационально, рефлективно, более или менее отчетливо понимает что-то, он - часто незаметно для себя - именно истолковывает подлежащее пониманию, придает понимаемому совершенно особый смысл. Гадамер считал все это важным не только для обычного, повседневного человеческого сознания, для коммуникации индивидов, но и для культуры, в исследовании которой на первый план выступают такие формы и структуры как "текст", "традиция" и их истолкование. Гадамер любит опираться на такие примеры как, скажем, толкование Библии (и других религиозных текстов) и интерпретация законов. Если издавна предполагалось, что для наилучшего понимания текстов, традиций, преданий всего лучше "вжиться" в них, "слиться" с ними, то Гадамер, напротив, рекомендует всегда сохранять "дистанцию" по отношению к истолковываемому письменному тексту или историческому событию. В наиболее успешных случаях герменевтике удается достигнуть "сплава горизонтов": далекое становится близким, сегодняшнее укореняется во вчерашнем, и взаимопонимание людей разных эпох, стран, поколений неизмеримо расширяется. Этому способствует такое толкование соответствующего текста, при котором он берется не изолированно, а в контексте "истории воздействия", влияния его.</w:t>
      </w:r>
    </w:p>
    <w:p w:rsidR="00A52079" w:rsidRPr="00CB4017" w:rsidRDefault="00A52079" w:rsidP="00CB4017">
      <w:pPr>
        <w:pStyle w:val="a4"/>
        <w:spacing w:before="0" w:beforeAutospacing="0" w:after="115" w:afterAutospacing="0" w:line="207" w:lineRule="atLeast"/>
        <w:rPr>
          <w:rFonts w:ascii="Georgia" w:hAnsi="Georgia"/>
          <w:color w:val="444444"/>
          <w:sz w:val="28"/>
          <w:szCs w:val="28"/>
        </w:rPr>
      </w:pPr>
      <w:r w:rsidRPr="008D71E1">
        <w:rPr>
          <w:rFonts w:ascii="Georgia" w:hAnsi="Georgia"/>
          <w:color w:val="444444"/>
          <w:sz w:val="28"/>
          <w:szCs w:val="28"/>
        </w:rPr>
        <w:t>Диалог (в качестве диалога с традицией) служил Гадамеру не просто моделью исследовательской деятельности, но стал для него образом жизни. Радость соучастия в событии мысли, совершающемся посредством философского диалога, Гадамер подарил огромному количеству друзей и учеников. Ясность ума не оставляла его до конца дней. Гадамер ушел из жизни на 103-ем году своей полной общения жизни. Он умер в Гейдельберге 13 марта 2002.</w:t>
      </w:r>
      <w:bookmarkStart w:id="0" w:name="_GoBack"/>
      <w:bookmarkEnd w:id="0"/>
    </w:p>
    <w:sectPr w:rsidR="00A52079" w:rsidRPr="00CB4017" w:rsidSect="001036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4DA6"/>
    <w:rsid w:val="0010368B"/>
    <w:rsid w:val="0015538E"/>
    <w:rsid w:val="00237544"/>
    <w:rsid w:val="003F33FC"/>
    <w:rsid w:val="00420CB6"/>
    <w:rsid w:val="00575B5B"/>
    <w:rsid w:val="0077548B"/>
    <w:rsid w:val="007853D5"/>
    <w:rsid w:val="008D71E1"/>
    <w:rsid w:val="00934DA6"/>
    <w:rsid w:val="00A52079"/>
    <w:rsid w:val="00CB4017"/>
    <w:rsid w:val="00D05497"/>
    <w:rsid w:val="00ED48FC"/>
    <w:rsid w:val="00FC20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4F70FF-7FF1-44DC-83D8-A12B76CF8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368B"/>
    <w:pPr>
      <w:spacing w:after="200" w:line="276" w:lineRule="auto"/>
    </w:pPr>
    <w:rPr>
      <w:rFonts w:eastAsia="Times New Roman"/>
      <w:sz w:val="22"/>
      <w:szCs w:val="22"/>
      <w:lang w:eastAsia="en-US"/>
    </w:rPr>
  </w:style>
  <w:style w:type="paragraph" w:styleId="1">
    <w:name w:val="heading 1"/>
    <w:basedOn w:val="a"/>
    <w:next w:val="a"/>
    <w:link w:val="10"/>
    <w:qFormat/>
    <w:rsid w:val="00934DA6"/>
    <w:pPr>
      <w:keepNext/>
      <w:keepLines/>
      <w:spacing w:before="480" w:after="0"/>
      <w:outlineLvl w:val="0"/>
    </w:pPr>
    <w:rPr>
      <w:rFonts w:ascii="Cambria" w:eastAsia="Calibri" w:hAnsi="Cambria"/>
      <w:b/>
      <w:bCs/>
      <w:color w:val="365F91"/>
      <w:sz w:val="28"/>
      <w:szCs w:val="28"/>
    </w:rPr>
  </w:style>
  <w:style w:type="paragraph" w:styleId="4">
    <w:name w:val="heading 4"/>
    <w:basedOn w:val="a"/>
    <w:link w:val="40"/>
    <w:qFormat/>
    <w:rsid w:val="00934DA6"/>
    <w:pPr>
      <w:spacing w:before="100" w:beforeAutospacing="1" w:after="100" w:afterAutospacing="1" w:line="240" w:lineRule="auto"/>
      <w:outlineLvl w:val="3"/>
    </w:pPr>
    <w:rPr>
      <w:rFonts w:ascii="Times New Roman" w:eastAsia="Calibri"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934DA6"/>
    <w:rPr>
      <w:rFonts w:cs="Times New Roman"/>
    </w:rPr>
  </w:style>
  <w:style w:type="character" w:customStyle="1" w:styleId="apple-converted-space">
    <w:name w:val="apple-converted-space"/>
    <w:basedOn w:val="a0"/>
    <w:rsid w:val="00934DA6"/>
    <w:rPr>
      <w:rFonts w:cs="Times New Roman"/>
    </w:rPr>
  </w:style>
  <w:style w:type="character" w:styleId="a3">
    <w:name w:val="Hyperlink"/>
    <w:basedOn w:val="a0"/>
    <w:semiHidden/>
    <w:rsid w:val="00934DA6"/>
    <w:rPr>
      <w:rFonts w:cs="Times New Roman"/>
      <w:color w:val="0000FF"/>
      <w:u w:val="single"/>
    </w:rPr>
  </w:style>
  <w:style w:type="character" w:customStyle="1" w:styleId="40">
    <w:name w:val="Заголовок 4 Знак"/>
    <w:basedOn w:val="a0"/>
    <w:link w:val="4"/>
    <w:locked/>
    <w:rsid w:val="00934DA6"/>
    <w:rPr>
      <w:rFonts w:ascii="Times New Roman" w:hAnsi="Times New Roman" w:cs="Times New Roman"/>
      <w:b/>
      <w:bCs/>
      <w:sz w:val="24"/>
      <w:szCs w:val="24"/>
      <w:lang w:val="x-none" w:eastAsia="ru-RU"/>
    </w:rPr>
  </w:style>
  <w:style w:type="paragraph" w:styleId="a4">
    <w:name w:val="Normal (Web)"/>
    <w:basedOn w:val="a"/>
    <w:rsid w:val="00934DA6"/>
    <w:pPr>
      <w:spacing w:before="100" w:beforeAutospacing="1" w:after="100" w:afterAutospacing="1" w:line="240" w:lineRule="auto"/>
    </w:pPr>
    <w:rPr>
      <w:rFonts w:ascii="Times New Roman" w:eastAsia="Calibri" w:hAnsi="Times New Roman"/>
      <w:sz w:val="24"/>
      <w:szCs w:val="24"/>
      <w:lang w:eastAsia="ru-RU"/>
    </w:rPr>
  </w:style>
  <w:style w:type="character" w:customStyle="1" w:styleId="10">
    <w:name w:val="Заголовок 1 Знак"/>
    <w:basedOn w:val="a0"/>
    <w:link w:val="1"/>
    <w:locked/>
    <w:rsid w:val="00934DA6"/>
    <w:rPr>
      <w:rFonts w:ascii="Cambria" w:hAnsi="Cambria" w:cs="Times New Roman"/>
      <w:b/>
      <w:bCs/>
      <w:color w:val="365F9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12_%D0%BC%D0%B0%D1%80%D1%82%D0%B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ru.wikipedia.org/wiki/%D0%9C%D0%B0%D1%80%D0%B1%D1%83%D1%80%D0%B3"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u.wikipedia.org/wiki/1900" TargetMode="External"/><Relationship Id="rId11" Type="http://schemas.openxmlformats.org/officeDocument/2006/relationships/hyperlink" Target="http://ru.wikipedia.org/wiki/%D0%93%D0%B5%D1%80%D0%BC%D0%B5%D0%BD%D0%B5%D0%B2%D1%82%D0%B8%D0%BA%D0%B0" TargetMode="External"/><Relationship Id="rId5" Type="http://schemas.openxmlformats.org/officeDocument/2006/relationships/hyperlink" Target="http://ru.wikipedia.org/wiki/11_%D1%84%D0%B5%D0%B2%D1%80%D0%B0%D0%BB%D1%8F" TargetMode="External"/><Relationship Id="rId10" Type="http://schemas.openxmlformats.org/officeDocument/2006/relationships/hyperlink" Target="http://ru.wikipedia.org/wiki/%D0%93%D0%B5%D0%B9%D0%B4%D0%B5%D0%BB%D1%8C%D0%B1%D0%B5%D1%80%D0%B3" TargetMode="External"/><Relationship Id="rId4" Type="http://schemas.openxmlformats.org/officeDocument/2006/relationships/hyperlink" Target="http://ru.wikipedia.org/wiki/%D0%9D%D0%B5%D0%BC%D0%B5%D1%86%D0%BA%D0%B8%D0%B9_%D1%8F%D0%B7%D1%8B%D0%BA" TargetMode="External"/><Relationship Id="rId9" Type="http://schemas.openxmlformats.org/officeDocument/2006/relationships/hyperlink" Target="http://ru.wikipedia.org/wiki/20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1458</Words>
  <Characters>8314</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Га́дамер Ганс-Георг (нем</vt:lpstr>
    </vt:vector>
  </TitlesOfParts>
  <Company/>
  <LinksUpToDate>false</LinksUpToDate>
  <CharactersWithSpaces>9753</CharactersWithSpaces>
  <SharedDoc>false</SharedDoc>
  <HLinks>
    <vt:vector size="48" baseType="variant">
      <vt:variant>
        <vt:i4>5439558</vt:i4>
      </vt:variant>
      <vt:variant>
        <vt:i4>21</vt:i4>
      </vt:variant>
      <vt:variant>
        <vt:i4>0</vt:i4>
      </vt:variant>
      <vt:variant>
        <vt:i4>5</vt:i4>
      </vt:variant>
      <vt:variant>
        <vt:lpwstr>http://ru.wikipedia.org/wiki/%D0%93%D0%B5%D1%80%D0%BC%D0%B5%D0%BD%D0%B5%D0%B2%D1%82%D0%B8%D0%BA%D0%B0</vt:lpwstr>
      </vt:variant>
      <vt:variant>
        <vt:lpwstr/>
      </vt:variant>
      <vt:variant>
        <vt:i4>2359396</vt:i4>
      </vt:variant>
      <vt:variant>
        <vt:i4>18</vt:i4>
      </vt:variant>
      <vt:variant>
        <vt:i4>0</vt:i4>
      </vt:variant>
      <vt:variant>
        <vt:i4>5</vt:i4>
      </vt:variant>
      <vt:variant>
        <vt:lpwstr>http://ru.wikipedia.org/wiki/%D0%93%D0%B5%D0%B9%D0%B4%D0%B5%D0%BB%D1%8C%D0%B1%D0%B5%D1%80%D0%B3</vt:lpwstr>
      </vt:variant>
      <vt:variant>
        <vt:lpwstr/>
      </vt:variant>
      <vt:variant>
        <vt:i4>655390</vt:i4>
      </vt:variant>
      <vt:variant>
        <vt:i4>15</vt:i4>
      </vt:variant>
      <vt:variant>
        <vt:i4>0</vt:i4>
      </vt:variant>
      <vt:variant>
        <vt:i4>5</vt:i4>
      </vt:variant>
      <vt:variant>
        <vt:lpwstr>http://ru.wikipedia.org/wiki/2002</vt:lpwstr>
      </vt:variant>
      <vt:variant>
        <vt:lpwstr/>
      </vt:variant>
      <vt:variant>
        <vt:i4>4587627</vt:i4>
      </vt:variant>
      <vt:variant>
        <vt:i4>12</vt:i4>
      </vt:variant>
      <vt:variant>
        <vt:i4>0</vt:i4>
      </vt:variant>
      <vt:variant>
        <vt:i4>5</vt:i4>
      </vt:variant>
      <vt:variant>
        <vt:lpwstr>http://ru.wikipedia.org/wiki/12_%D0%BC%D0%B0%D1%80%D1%82%D0%B0</vt:lpwstr>
      </vt:variant>
      <vt:variant>
        <vt:lpwstr/>
      </vt:variant>
      <vt:variant>
        <vt:i4>8323134</vt:i4>
      </vt:variant>
      <vt:variant>
        <vt:i4>9</vt:i4>
      </vt:variant>
      <vt:variant>
        <vt:i4>0</vt:i4>
      </vt:variant>
      <vt:variant>
        <vt:i4>5</vt:i4>
      </vt:variant>
      <vt:variant>
        <vt:lpwstr>http://ru.wikipedia.org/wiki/%D0%9C%D0%B0%D1%80%D0%B1%D1%83%D1%80%D0%B3</vt:lpwstr>
      </vt:variant>
      <vt:variant>
        <vt:lpwstr/>
      </vt:variant>
      <vt:variant>
        <vt:i4>589847</vt:i4>
      </vt:variant>
      <vt:variant>
        <vt:i4>6</vt:i4>
      </vt:variant>
      <vt:variant>
        <vt:i4>0</vt:i4>
      </vt:variant>
      <vt:variant>
        <vt:i4>5</vt:i4>
      </vt:variant>
      <vt:variant>
        <vt:lpwstr>http://ru.wikipedia.org/wiki/1900</vt:lpwstr>
      </vt:variant>
      <vt:variant>
        <vt:lpwstr/>
      </vt:variant>
      <vt:variant>
        <vt:i4>1048627</vt:i4>
      </vt:variant>
      <vt:variant>
        <vt:i4>3</vt:i4>
      </vt:variant>
      <vt:variant>
        <vt:i4>0</vt:i4>
      </vt:variant>
      <vt:variant>
        <vt:i4>5</vt:i4>
      </vt:variant>
      <vt:variant>
        <vt:lpwstr>http://ru.wikipedia.org/wiki/11_%D1%84%D0%B5%D0%B2%D1%80%D0%B0%D0%BB%D1%8F</vt:lpwstr>
      </vt:variant>
      <vt:variant>
        <vt:lpwstr/>
      </vt:variant>
      <vt:variant>
        <vt:i4>327807</vt:i4>
      </vt:variant>
      <vt:variant>
        <vt:i4>0</vt:i4>
      </vt:variant>
      <vt:variant>
        <vt:i4>0</vt:i4>
      </vt:variant>
      <vt:variant>
        <vt:i4>5</vt:i4>
      </vt:variant>
      <vt:variant>
        <vt:lpwstr>http://ru.wikipedia.org/wiki/%D0%9D%D0%B5%D0%BC%D0%B5%D1%86%D0%BA%D0%B8%D0%B9_%D1%8F%D0%B7%D1%8B%D0%BA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Га́дамер Ганс-Георг (нем</dc:title>
  <dc:subject/>
  <dc:creator>Алия</dc:creator>
  <cp:keywords/>
  <dc:description/>
  <cp:lastModifiedBy>admin</cp:lastModifiedBy>
  <cp:revision>2</cp:revision>
  <dcterms:created xsi:type="dcterms:W3CDTF">2014-04-12T13:56:00Z</dcterms:created>
  <dcterms:modified xsi:type="dcterms:W3CDTF">2014-04-12T13:56:00Z</dcterms:modified>
</cp:coreProperties>
</file>