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01" w:rsidRDefault="00B43F01">
      <w:pPr>
        <w:pStyle w:val="a4"/>
        <w:rPr>
          <w:sz w:val="44"/>
        </w:rPr>
      </w:pPr>
    </w:p>
    <w:p w:rsidR="00B43F01" w:rsidRDefault="00B43F01">
      <w:pPr>
        <w:pStyle w:val="a4"/>
        <w:rPr>
          <w:sz w:val="44"/>
        </w:rPr>
      </w:pPr>
    </w:p>
    <w:p w:rsidR="00B43F01" w:rsidRDefault="00B43F01">
      <w:pPr>
        <w:pStyle w:val="a4"/>
        <w:rPr>
          <w:sz w:val="44"/>
        </w:rPr>
      </w:pPr>
    </w:p>
    <w:p w:rsidR="00B43F01" w:rsidRDefault="00B43F01">
      <w:pPr>
        <w:pStyle w:val="a4"/>
        <w:rPr>
          <w:sz w:val="44"/>
        </w:rPr>
      </w:pPr>
    </w:p>
    <w:p w:rsidR="00B43F01" w:rsidRDefault="00B43F01">
      <w:pPr>
        <w:pStyle w:val="a4"/>
        <w:rPr>
          <w:sz w:val="44"/>
        </w:rPr>
      </w:pPr>
    </w:p>
    <w:p w:rsidR="00B43F01" w:rsidRDefault="006811E0">
      <w:pPr>
        <w:pStyle w:val="a4"/>
        <w:rPr>
          <w:sz w:val="44"/>
        </w:rPr>
      </w:pPr>
      <w:r>
        <w:rPr>
          <w:sz w:val="44"/>
        </w:rPr>
        <w:t>Реферат з логіки</w:t>
      </w:r>
    </w:p>
    <w:p w:rsidR="00B43F01" w:rsidRDefault="006811E0">
      <w:pPr>
        <w:pStyle w:val="a4"/>
        <w:rPr>
          <w:sz w:val="44"/>
        </w:rPr>
      </w:pPr>
      <w:r>
        <w:rPr>
          <w:sz w:val="44"/>
        </w:rPr>
        <w:t>на тему:</w:t>
      </w:r>
    </w:p>
    <w:p w:rsidR="00B43F01" w:rsidRDefault="006811E0">
      <w:pPr>
        <w:pStyle w:val="a4"/>
        <w:rPr>
          <w:i/>
          <w:iCs/>
          <w:sz w:val="52"/>
        </w:rPr>
      </w:pPr>
      <w:r>
        <w:rPr>
          <w:i/>
          <w:iCs/>
          <w:sz w:val="52"/>
        </w:rPr>
        <w:t>Логіка Давньої Індії</w:t>
      </w:r>
    </w:p>
    <w:p w:rsidR="00B43F01" w:rsidRDefault="00B43F01">
      <w:pPr>
        <w:pStyle w:val="a4"/>
        <w:rPr>
          <w:sz w:val="28"/>
        </w:rPr>
      </w:pPr>
    </w:p>
    <w:p w:rsidR="00B43F01" w:rsidRDefault="006811E0">
      <w:pPr>
        <w:pStyle w:val="2"/>
        <w:jc w:val="both"/>
      </w:pPr>
      <w:r>
        <w:br w:type="page"/>
        <w:t>Уже в давніх упанішадах («Чхандогья», «Мундака») «…йдеться про існування кількох самостійних видів знання…, в переліку яких крім Вед і різних магічних мистецтв згадуються хронологія, логіка (риторика), етимологія, гра</w:t>
      </w:r>
      <w:r>
        <w:softHyphen/>
        <w:t>матика, наука чисел, астрономія, військова наука» [І].</w:t>
      </w:r>
    </w:p>
    <w:p w:rsidR="00B43F01" w:rsidRDefault="006811E0">
      <w:pPr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lang w:val="uk-UA"/>
        </w:rPr>
        <w:t>Виникненню логіки в Індії сприяли філософські диспу</w:t>
      </w:r>
      <w:r>
        <w:rPr>
          <w:rFonts w:ascii="Arial" w:hAnsi="Arial"/>
          <w:snapToGrid w:val="0"/>
          <w:sz w:val="28"/>
          <w:lang w:val="uk-UA"/>
        </w:rPr>
        <w:softHyphen/>
        <w:t xml:space="preserve">ти, на яких представники різних течій відстоювали свої погляди і спростовували думки опонентів. </w:t>
      </w:r>
      <w:r>
        <w:rPr>
          <w:rFonts w:ascii="Arial" w:hAnsi="Arial"/>
          <w:snapToGrid w:val="0"/>
          <w:sz w:val="28"/>
        </w:rPr>
        <w:t>Тому логіка три</w:t>
      </w:r>
      <w:r>
        <w:rPr>
          <w:rFonts w:ascii="Arial" w:hAnsi="Arial"/>
          <w:snapToGrid w:val="0"/>
          <w:sz w:val="28"/>
        </w:rPr>
        <w:softHyphen/>
        <w:t>валий час була тісно пов'язана з риторикою, теорією ора</w:t>
      </w:r>
      <w:r>
        <w:rPr>
          <w:rFonts w:ascii="Arial" w:hAnsi="Arial"/>
          <w:snapToGrid w:val="0"/>
          <w:sz w:val="28"/>
        </w:rPr>
        <w:softHyphen/>
        <w:t>торського мистецтва.</w:t>
      </w:r>
    </w:p>
    <w:p w:rsidR="00B43F01" w:rsidRDefault="006811E0">
      <w:pPr>
        <w:spacing w:line="360" w:lineRule="auto"/>
        <w:ind w:firstLine="72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історії індійської логіки виділяють три основних пері</w:t>
      </w:r>
      <w:r>
        <w:rPr>
          <w:rFonts w:ascii="Arial" w:hAnsi="Arial"/>
          <w:snapToGrid w:val="0"/>
          <w:sz w:val="28"/>
        </w:rPr>
        <w:softHyphen/>
        <w:t>оди, по-різному окреслюючи хронологічні рамки.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За В. Донченко 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перший період VI ст. до н.е. — II—III ст. н.е.;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другий період. II—III ст. — Х ст.;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третій період: XII—XVII ст. За М. Коадаковим [34]: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перший період (рання буддистська логіка) — VI—V ст. до н.е. — II ст. н.е.;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другий період (діяльність шкіл вайшешика і ньяя) — ПІ—У ст.;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третій період (розквіт буддистської логіки) — VI— VIII ст.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Перший період</w:t>
      </w:r>
    </w:p>
    <w:p w:rsidR="00B43F01" w:rsidRDefault="006811E0">
      <w:pPr>
        <w:pStyle w:val="2"/>
      </w:pPr>
      <w:r>
        <w:t>Уже в ранній буддистський період (буддистська логіка до Дигнаги) були написані трактати про те, як ефективно вести диспути. При цьому в центрі уваги стояло питання про сутність, види та місце виголошення промов. Важли</w:t>
      </w:r>
      <w:r>
        <w:softHyphen/>
        <w:t>вого значення надавалося психології мислення (не радили виступати з промовами у стані перевтоми, суму, гніву чи якогось іншого сильного збудження) і власне ораторському аспекту промови. Зверталась увага й на логічну переконливість промов та необхідність дотримання правил логіки</w:t>
      </w:r>
    </w:p>
    <w:p w:rsidR="00B43F01" w:rsidRDefault="006811E0">
      <w:pPr>
        <w:spacing w:line="360" w:lineRule="auto"/>
        <w:ind w:firstLine="72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Тогочасні мислителі розрізняли шість видів промов :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промова про себе;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красива промова, що дає насолоду (художнє слово);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промови диспутів, у яких співбесідники, втягнуті в дис</w:t>
      </w:r>
      <w:r>
        <w:rPr>
          <w:rFonts w:ascii="Arial" w:hAnsi="Arial"/>
          <w:snapToGrid w:val="0"/>
          <w:sz w:val="28"/>
        </w:rPr>
        <w:softHyphen/>
        <w:t xml:space="preserve">кусію, висловлюють протилежні думки </w:t>
      </w:r>
      <w:r>
        <w:rPr>
          <w:rFonts w:ascii="Arial" w:hAnsi="Arial"/>
          <w:i/>
          <w:snapToGrid w:val="0"/>
          <w:sz w:val="28"/>
        </w:rPr>
        <w:t>з</w:t>
      </w:r>
      <w:r>
        <w:rPr>
          <w:rFonts w:ascii="Arial" w:hAnsi="Arial"/>
          <w:snapToGrid w:val="0"/>
          <w:sz w:val="28"/>
        </w:rPr>
        <w:t xml:space="preserve"> приводу пев</w:t>
      </w:r>
      <w:r>
        <w:rPr>
          <w:rFonts w:ascii="Arial" w:hAnsi="Arial"/>
          <w:snapToGrid w:val="0"/>
          <w:sz w:val="28"/>
        </w:rPr>
        <w:softHyphen/>
        <w:t>ної тези,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"дурна промова», в якій викладається хибне вчення;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правильна промова, яка узгоджується з істинним ученням і ставить за мету донести до слухачів істинне знання;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промова, в якій викладається істинне вчення,</w:t>
      </w:r>
    </w:p>
    <w:p w:rsidR="00B43F01" w:rsidRDefault="006811E0">
      <w:pPr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Вважалось, що перший І другий види промов можуть бути як «хорошими», так і «дурними»; і з цим треба раху</w:t>
      </w:r>
      <w:r>
        <w:rPr>
          <w:rFonts w:ascii="Arial" w:hAnsi="Arial"/>
          <w:snapToGrid w:val="0"/>
          <w:sz w:val="28"/>
        </w:rPr>
        <w:softHyphen/>
        <w:t>ватися. Третій і четвертій — завжди «дурні», тому їх необ</w:t>
      </w:r>
      <w:r>
        <w:rPr>
          <w:rFonts w:ascii="Arial" w:hAnsi="Arial"/>
          <w:snapToGrid w:val="0"/>
          <w:sz w:val="28"/>
        </w:rPr>
        <w:softHyphen/>
        <w:t>хідно уникати, А п'ятий і шостий — завжди «хороші», їх треба завжди застосовувати.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Різнили промови і за місцем виголошення: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перед царем;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перед правлячими;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на великому зібранні;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перед тими, хто добре знає вчення;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перед брахманами,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перед тими, хто любить слухати істинне вчення.</w:t>
      </w:r>
    </w:p>
    <w:p w:rsidR="00B43F01" w:rsidRDefault="006811E0">
      <w:pPr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Прикрашенням промови вважали і такі моменти: висо</w:t>
      </w:r>
      <w:r>
        <w:rPr>
          <w:rFonts w:ascii="Arial" w:hAnsi="Arial"/>
          <w:snapToGrid w:val="0"/>
          <w:sz w:val="28"/>
        </w:rPr>
        <w:softHyphen/>
        <w:t>кий авторитет її автора, довір'я і прихильність до нього, готовність вислухати виступ з боку аудиторії, відсутність боязні в оратора; знання помилок супротивників і переко</w:t>
      </w:r>
      <w:r>
        <w:rPr>
          <w:rFonts w:ascii="Arial" w:hAnsi="Arial"/>
          <w:snapToGrid w:val="0"/>
          <w:sz w:val="28"/>
        </w:rPr>
        <w:softHyphen/>
        <w:t xml:space="preserve">нання в перевагах своєї </w:t>
      </w:r>
      <w:r>
        <w:rPr>
          <w:rFonts w:ascii="Arial" w:hAnsi="Arial"/>
          <w:smallCaps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 xml:space="preserve">тези, </w:t>
      </w:r>
    </w:p>
    <w:p w:rsidR="00B43F01" w:rsidRDefault="006811E0">
      <w:pPr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Крім того. існували інші вимоги: під час дискусії мають добре працювати пам'ять і розум, виявлятися кмітливість;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підкреслювалася важливість виразності промови, зокрема чіткості дискусії. Рекомендувалось утікати ущипливих за</w:t>
      </w:r>
      <w:r>
        <w:rPr>
          <w:rFonts w:ascii="Arial" w:hAnsi="Arial"/>
          <w:snapToGrid w:val="0"/>
          <w:sz w:val="28"/>
        </w:rPr>
        <w:softHyphen/>
        <w:t>уважень, не дратуватися. не гніватися, не грубіянити.</w:t>
      </w:r>
    </w:p>
    <w:p w:rsidR="00B43F01" w:rsidRDefault="006811E0">
      <w:pPr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Детально було розроблено і вчення про недоліки промов. Виділялося кілька груп недоліків, до першої входили: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визнання своєї власної помилки й істинності тези супро</w:t>
      </w:r>
      <w:r>
        <w:rPr>
          <w:rFonts w:ascii="Arial" w:hAnsi="Arial"/>
          <w:snapToGrid w:val="0"/>
          <w:sz w:val="28"/>
        </w:rPr>
        <w:softHyphen/>
        <w:t>тивника;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різні форми ухилення від продовження дискусії;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синтетичний недолік, який містив такі дев'ять різновидів промов: промова навмання, шалена, темна, непомірна (надто коротка чи надмірно тривала), бездумна (що містила десять різновидів, зокрема доповідь, доведен</w:t>
      </w:r>
      <w:r>
        <w:rPr>
          <w:rFonts w:ascii="Arial" w:hAnsi="Arial"/>
          <w:snapToGrid w:val="0"/>
          <w:sz w:val="28"/>
        </w:rPr>
        <w:softHyphen/>
        <w:t>ня, яке саме потребує доведення, доповідь, що ґрун</w:t>
      </w:r>
      <w:r>
        <w:rPr>
          <w:rFonts w:ascii="Arial" w:hAnsi="Arial"/>
          <w:snapToGrid w:val="0"/>
          <w:sz w:val="28"/>
        </w:rPr>
        <w:softHyphen/>
        <w:t>тується на алогічних чи хибних доктринах), суперечна, неясна, нескладна.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Перед тим, як розпочинати дискусію, рекомендувалося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попередньо визначити такі обставини: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чи буде дискусія мати якусь користь;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чи чесний, неупереджений учасник дискусії;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чи має він знання і чи здатний належно вести Дискусію.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 негативній відповіді на ці питання радили уникати дискусії.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Щодо власне логічного змісту промови («базису»,</w:t>
      </w:r>
      <w:r>
        <w:rPr>
          <w:rFonts w:ascii="Arial" w:hAnsi="Arial"/>
          <w:b/>
          <w:snapToGrid w:val="0"/>
          <w:sz w:val="28"/>
        </w:rPr>
        <w:t xml:space="preserve"> або </w:t>
      </w:r>
      <w:r>
        <w:rPr>
          <w:rFonts w:ascii="Arial" w:hAnsi="Arial"/>
          <w:snapToGrid w:val="0"/>
          <w:sz w:val="28"/>
        </w:rPr>
        <w:t>«опори» учасників дискусії), в останній розрізняли два еле</w:t>
      </w:r>
      <w:r>
        <w:rPr>
          <w:rFonts w:ascii="Arial" w:hAnsi="Arial"/>
          <w:snapToGrid w:val="0"/>
          <w:sz w:val="28"/>
        </w:rPr>
        <w:softHyphen/>
        <w:t>менти: те, що необхідно довести, і саме доведення.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Доказуване</w:t>
      </w:r>
      <w:r>
        <w:rPr>
          <w:rFonts w:ascii="Arial" w:hAnsi="Arial"/>
          <w:snapToGrid w:val="0"/>
          <w:sz w:val="28"/>
        </w:rPr>
        <w:t xml:space="preserve"> може бути або суб’єктом, сутністю, або ат</w:t>
      </w:r>
      <w:r>
        <w:rPr>
          <w:rFonts w:ascii="Arial" w:hAnsi="Arial"/>
          <w:snapToGrid w:val="0"/>
          <w:sz w:val="28"/>
        </w:rPr>
        <w:softHyphen/>
        <w:t>рибутом, якістю. В першому випадку стверджується чи за</w:t>
      </w:r>
      <w:r>
        <w:rPr>
          <w:rFonts w:ascii="Arial" w:hAnsi="Arial"/>
          <w:snapToGrid w:val="0"/>
          <w:sz w:val="28"/>
        </w:rPr>
        <w:softHyphen/>
        <w:t>перечується існування чогось (йдеться про судження, які зараз називають екзистенцій ними), а в другому — стверд</w:t>
      </w:r>
      <w:r>
        <w:rPr>
          <w:rFonts w:ascii="Arial" w:hAnsi="Arial"/>
          <w:snapToGrid w:val="0"/>
          <w:sz w:val="28"/>
        </w:rPr>
        <w:softHyphen/>
        <w:t>жується чи заперечується, що певна властивість або якість належить чи не належить суб'єкту (сучасні атрибутивні суд</w:t>
      </w:r>
      <w:r>
        <w:rPr>
          <w:rFonts w:ascii="Arial" w:hAnsi="Arial"/>
          <w:snapToGrid w:val="0"/>
          <w:sz w:val="28"/>
        </w:rPr>
        <w:softHyphen/>
        <w:t>ження).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Доведення</w:t>
      </w:r>
      <w:r>
        <w:rPr>
          <w:rFonts w:ascii="Arial" w:hAnsi="Arial"/>
          <w:snapToGrid w:val="0"/>
          <w:sz w:val="28"/>
        </w:rPr>
        <w:t xml:space="preserve"> складається з восьми складових (їх перелік і визначення в різних джерелах різні): речення, основа (підстава), приклад, однорідність, різнорідність, пряма (без</w:t>
      </w:r>
      <w:r>
        <w:rPr>
          <w:rFonts w:ascii="Arial" w:hAnsi="Arial"/>
          <w:snapToGrid w:val="0"/>
          <w:sz w:val="28"/>
        </w:rPr>
        <w:softHyphen/>
        <w:t>посередня) перцепція, висновок, авторитет.</w:t>
      </w:r>
    </w:p>
    <w:p w:rsidR="00B43F01" w:rsidRDefault="006811E0">
      <w:pPr>
        <w:spacing w:line="360" w:lineRule="auto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Речення</w:t>
      </w:r>
      <w:r>
        <w:rPr>
          <w:rFonts w:ascii="Arial" w:hAnsi="Arial"/>
          <w:i/>
          <w:snapToGrid w:val="0"/>
          <w:sz w:val="28"/>
        </w:rPr>
        <w:t xml:space="preserve"> — теза, в якій висловлюється певна точка зору на</w:t>
      </w:r>
      <w:r>
        <w:rPr>
          <w:rFonts w:ascii="Arial" w:hAnsi="Arial"/>
          <w:snapToGrid w:val="0"/>
          <w:sz w:val="28"/>
        </w:rPr>
        <w:t xml:space="preserve"> ге, </w:t>
      </w:r>
      <w:r>
        <w:rPr>
          <w:rFonts w:ascii="Arial" w:hAnsi="Arial"/>
          <w:i/>
          <w:snapToGrid w:val="0"/>
          <w:sz w:val="28"/>
        </w:rPr>
        <w:t>що має бути доведене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Воно або ґрунтується на науковому знанні, або є ре</w:t>
      </w:r>
      <w:r>
        <w:rPr>
          <w:rFonts w:ascii="Arial" w:hAnsi="Arial"/>
          <w:snapToGrid w:val="0"/>
          <w:sz w:val="28"/>
        </w:rPr>
        <w:softHyphen/>
        <w:t>зультатом незалежної інтуїції, або почутим від когось. Ре</w:t>
      </w:r>
      <w:r>
        <w:rPr>
          <w:rFonts w:ascii="Arial" w:hAnsi="Arial"/>
          <w:snapToGrid w:val="0"/>
          <w:sz w:val="28"/>
        </w:rPr>
        <w:softHyphen/>
        <w:t>чення — це положення, яке учасник дискусії приймає до</w:t>
      </w:r>
      <w:r>
        <w:rPr>
          <w:rFonts w:ascii="Arial" w:hAnsi="Arial"/>
          <w:snapToGrid w:val="0"/>
          <w:sz w:val="28"/>
        </w:rPr>
        <w:softHyphen/>
        <w:t>бровільно і яке потребує доведення. Воно має висловлюва</w:t>
      </w:r>
      <w:r>
        <w:rPr>
          <w:rFonts w:ascii="Arial" w:hAnsi="Arial"/>
          <w:snapToGrid w:val="0"/>
          <w:sz w:val="28"/>
        </w:rPr>
        <w:softHyphen/>
        <w:t>тися так, щоб бути зрозумілим іншим людям. Мається</w:t>
      </w:r>
      <w:r>
        <w:rPr>
          <w:rFonts w:ascii="Arial" w:hAnsi="Arial"/>
          <w:b/>
          <w:snapToGrid w:val="0"/>
          <w:sz w:val="28"/>
        </w:rPr>
        <w:t xml:space="preserve"> на</w:t>
      </w:r>
      <w:r>
        <w:rPr>
          <w:rFonts w:ascii="Arial" w:hAnsi="Arial"/>
          <w:snapToGrid w:val="0"/>
          <w:sz w:val="28"/>
        </w:rPr>
        <w:t xml:space="preserve"> увазі логічний суб'єкт, поняття про предмет думки, той предмет, що є носієм властивостей і якостей.</w:t>
      </w:r>
    </w:p>
    <w:p w:rsidR="00B43F01" w:rsidRDefault="006811E0">
      <w:pPr>
        <w:spacing w:line="360" w:lineRule="auto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Основа —</w:t>
      </w:r>
      <w:r>
        <w:rPr>
          <w:rFonts w:ascii="Arial" w:hAnsi="Arial"/>
          <w:i/>
          <w:snapToGrid w:val="0"/>
          <w:sz w:val="28"/>
        </w:rPr>
        <w:t xml:space="preserve"> логічна підстава, яка випливає з прикладу, однорідності, різнорідності, прямої перцепції, висновку і авторитету.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Коли об'єкт, який має бути доведеним, не є очевид</w:t>
      </w:r>
      <w:r>
        <w:rPr>
          <w:rFonts w:ascii="Arial" w:hAnsi="Arial"/>
          <w:snapToGrid w:val="0"/>
          <w:sz w:val="28"/>
        </w:rPr>
        <w:softHyphen/>
        <w:t>ним, то основа полягає у знаходженні таких моментів, які Зроблять його пізнаним.</w:t>
      </w:r>
    </w:p>
    <w:p w:rsidR="00B43F01" w:rsidRDefault="006811E0">
      <w:pPr>
        <w:spacing w:line="360" w:lineRule="auto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Приклад</w:t>
      </w:r>
      <w:r>
        <w:rPr>
          <w:rFonts w:ascii="Arial" w:hAnsi="Arial"/>
          <w:i/>
          <w:snapToGrid w:val="0"/>
          <w:sz w:val="28"/>
        </w:rPr>
        <w:t xml:space="preserve"> — наведення загально визначених або прийнятих нау</w:t>
      </w:r>
      <w:r>
        <w:rPr>
          <w:rFonts w:ascii="Arial" w:hAnsi="Arial"/>
          <w:i/>
          <w:snapToGrid w:val="0"/>
          <w:sz w:val="28"/>
        </w:rPr>
        <w:softHyphen/>
        <w:t>кою положень.</w:t>
      </w:r>
    </w:p>
    <w:p w:rsidR="00B43F01" w:rsidRDefault="006811E0">
      <w:pPr>
        <w:spacing w:line="360" w:lineRule="auto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Однорідність</w:t>
      </w:r>
      <w:r>
        <w:rPr>
          <w:rFonts w:ascii="Arial" w:hAnsi="Arial"/>
          <w:i/>
          <w:snapToGrid w:val="0"/>
          <w:sz w:val="28"/>
        </w:rPr>
        <w:t xml:space="preserve"> — складова доведення, що виявляється в подібності</w:t>
      </w:r>
    </w:p>
    <w:p w:rsidR="00B43F01" w:rsidRDefault="006811E0">
      <w:pPr>
        <w:spacing w:line="360" w:lineRule="auto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сутності, атрибутів, причини і наслідку</w:t>
      </w:r>
    </w:p>
    <w:p w:rsidR="00B43F01" w:rsidRDefault="006811E0">
      <w:pPr>
        <w:pStyle w:val="20"/>
      </w:pPr>
      <w:r>
        <w:t>Сюди ж відносили і «застосування» — логічне правило, що полягало в наведенні інших фактів, які належать до того самого класу чи роду, для доведення атрибута логіч</w:t>
      </w:r>
      <w:r>
        <w:softHyphen/>
        <w:t>ного суб'єкта.</w:t>
      </w:r>
    </w:p>
    <w:p w:rsidR="00B43F01" w:rsidRDefault="006811E0">
      <w:pPr>
        <w:spacing w:line="360" w:lineRule="auto"/>
        <w:jc w:val="both"/>
        <w:rPr>
          <w:rFonts w:ascii="Arial" w:hAnsi="Arial"/>
          <w:i/>
          <w:snapToGrid w:val="0"/>
          <w:sz w:val="28"/>
          <w:lang w:val="uk-UA"/>
        </w:rPr>
      </w:pPr>
      <w:r>
        <w:rPr>
          <w:rFonts w:ascii="Arial" w:hAnsi="Arial"/>
          <w:b/>
          <w:i/>
          <w:snapToGrid w:val="0"/>
          <w:sz w:val="28"/>
          <w:lang w:val="uk-UA"/>
        </w:rPr>
        <w:t>Різнорідність</w:t>
      </w:r>
      <w:r>
        <w:rPr>
          <w:rFonts w:ascii="Arial" w:hAnsi="Arial"/>
          <w:i/>
          <w:snapToGrid w:val="0"/>
          <w:sz w:val="28"/>
          <w:lang w:val="uk-UA"/>
        </w:rPr>
        <w:t xml:space="preserve"> — складова доведення, що полягає у взаємному розрізненні сутності, атрибутів, причини і наслідку.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Пряма перцепція</w:t>
      </w:r>
      <w:r>
        <w:rPr>
          <w:rFonts w:ascii="Arial" w:hAnsi="Arial"/>
          <w:i/>
          <w:snapToGrid w:val="0"/>
          <w:sz w:val="28"/>
        </w:rPr>
        <w:t xml:space="preserve"> - безпосереднє сприйняття відповідного пред</w:t>
      </w:r>
      <w:r>
        <w:rPr>
          <w:rFonts w:ascii="Arial" w:hAnsi="Arial"/>
          <w:i/>
          <w:snapToGrid w:val="0"/>
          <w:sz w:val="28"/>
        </w:rPr>
        <w:softHyphen/>
        <w:t>мета.</w:t>
      </w:r>
      <w:r>
        <w:rPr>
          <w:rFonts w:ascii="Arial" w:hAnsi="Arial"/>
          <w:snapToGrid w:val="0"/>
          <w:sz w:val="28"/>
        </w:rPr>
        <w:t xml:space="preserve">                                                  </w:t>
      </w:r>
    </w:p>
    <w:p w:rsidR="00B43F01" w:rsidRDefault="00B43F01">
      <w:pPr>
        <w:spacing w:line="360" w:lineRule="auto"/>
        <w:jc w:val="both"/>
        <w:rPr>
          <w:rFonts w:ascii="Arial" w:hAnsi="Arial"/>
          <w:snapToGrid w:val="0"/>
          <w:sz w:val="28"/>
        </w:rPr>
      </w:pPr>
    </w:p>
    <w:p w:rsidR="00B43F01" w:rsidRDefault="006811E0">
      <w:pPr>
        <w:spacing w:line="360" w:lineRule="auto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Її відмітними рисами є очевидність, незалежність від уяви і помилок. До таких помилок відносили:</w:t>
      </w:r>
    </w:p>
    <w:p w:rsidR="00B43F01" w:rsidRDefault="006811E0">
      <w:pPr>
        <w:spacing w:line="360" w:lineRule="auto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приймати один предмет за інший (наприклад, міраж — за дійсність);</w:t>
      </w:r>
    </w:p>
    <w:p w:rsidR="00B43F01" w:rsidRDefault="006811E0">
      <w:pPr>
        <w:spacing w:line="360" w:lineRule="auto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вбачати в елементарному якийсь комплекс (так, уві сні людина може бачити два місяці замість одного);</w:t>
      </w:r>
    </w:p>
    <w:p w:rsidR="00B43F01" w:rsidRDefault="006811E0">
      <w:pPr>
        <w:pStyle w:val="a3"/>
        <w:jc w:val="both"/>
      </w:pPr>
      <w:r>
        <w:t>— вважати, ніби предмет має певну форму, тоді як на</w:t>
      </w:r>
      <w:r>
        <w:softHyphen/>
        <w:t>справді він ЇЇ не має (наприклад, бачити вогняне колесо при швидкому обертанні предмета, що горить),</w:t>
      </w:r>
    </w:p>
    <w:p w:rsidR="00B43F01" w:rsidRDefault="006811E0">
      <w:pPr>
        <w:spacing w:line="360" w:lineRule="auto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помилка сприймання (при розладі органів чуття);</w:t>
      </w:r>
    </w:p>
    <w:p w:rsidR="00B43F01" w:rsidRDefault="006811E0">
      <w:pPr>
        <w:spacing w:line="360" w:lineRule="auto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приписування невластивої дії чому-небудь (наприк</w:t>
      </w:r>
      <w:r>
        <w:rPr>
          <w:rFonts w:ascii="Arial" w:hAnsi="Arial"/>
          <w:snapToGrid w:val="0"/>
          <w:sz w:val="28"/>
        </w:rPr>
        <w:softHyphen/>
        <w:t>лад, уявний рух дерев, коли швидко повз них проїж</w:t>
      </w:r>
      <w:r>
        <w:rPr>
          <w:rFonts w:ascii="Arial" w:hAnsi="Arial"/>
          <w:snapToGrid w:val="0"/>
          <w:sz w:val="28"/>
        </w:rPr>
        <w:softHyphen/>
        <w:t>джаєш).</w:t>
      </w:r>
    </w:p>
    <w:p w:rsidR="00B43F01" w:rsidRDefault="006811E0">
      <w:pPr>
        <w:spacing w:line="360" w:lineRule="auto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Висновок</w:t>
      </w:r>
      <w:r>
        <w:rPr>
          <w:rFonts w:ascii="Arial" w:hAnsi="Arial"/>
          <w:i/>
          <w:snapToGrid w:val="0"/>
          <w:sz w:val="28"/>
        </w:rPr>
        <w:t xml:space="preserve"> - розпізнавання об'єкта за умови, що він безпосеред</w:t>
      </w:r>
      <w:r>
        <w:rPr>
          <w:rFonts w:ascii="Arial" w:hAnsi="Arial"/>
          <w:i/>
          <w:snapToGrid w:val="0"/>
          <w:sz w:val="28"/>
        </w:rPr>
        <w:softHyphen/>
        <w:t>ньо не сприймається.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 цьому називали такі види висновку:</w:t>
      </w:r>
    </w:p>
    <w:p w:rsidR="00B43F01" w:rsidRDefault="006811E0">
      <w:pPr>
        <w:pStyle w:val="a3"/>
        <w:jc w:val="both"/>
      </w:pPr>
      <w:r>
        <w:t>— висновок про наявність об'єкта на підставі наявності його ознаки (наприклад, про наявність вогню на підставі наявності диму);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  <w:lang w:val="uk-UA"/>
        </w:rPr>
      </w:pPr>
      <w:r>
        <w:rPr>
          <w:rFonts w:ascii="Arial" w:hAnsi="Arial"/>
          <w:snapToGrid w:val="0"/>
          <w:sz w:val="28"/>
          <w:lang w:val="uk-UA"/>
        </w:rPr>
        <w:t>— висновок про існування неприйнятого з існування сприйнятого або із частини якоїсь сутності про несприйнятя частину (скажімо, виводити минуле з теперішнього або існування воза з існування його частини, наприклад, коле</w:t>
      </w:r>
      <w:r>
        <w:rPr>
          <w:rFonts w:ascii="Arial" w:hAnsi="Arial"/>
          <w:snapToGrid w:val="0"/>
          <w:sz w:val="28"/>
          <w:lang w:val="uk-UA"/>
        </w:rPr>
        <w:softHyphen/>
        <w:t>са тощо);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виведення із дії її причини (наприклад, якщо пред</w:t>
      </w:r>
      <w:r>
        <w:rPr>
          <w:rFonts w:ascii="Arial" w:hAnsi="Arial"/>
          <w:snapToGrid w:val="0"/>
          <w:sz w:val="28"/>
        </w:rPr>
        <w:softHyphen/>
        <w:t>мет, який ми бачимо здалеку, нерухомий, то робимо вис</w:t>
      </w:r>
      <w:r>
        <w:rPr>
          <w:rFonts w:ascii="Arial" w:hAnsi="Arial"/>
          <w:snapToGrid w:val="0"/>
          <w:sz w:val="28"/>
        </w:rPr>
        <w:softHyphen/>
        <w:t>новок, що це — дерево, а якщо він рухається, то це — людина);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коли ми знаємо про взаємозв'язок багатьох речей і з наявності деяких з них робимо висновок про існування інших (наприклад, з факту народження робимо висновок про смерть);</w:t>
      </w:r>
    </w:p>
    <w:p w:rsidR="00B43F01" w:rsidRDefault="006811E0">
      <w:pPr>
        <w:pStyle w:val="a3"/>
        <w:jc w:val="both"/>
      </w:pPr>
      <w:r>
        <w:t>— виведення понять, які співвідносяться як причина і наслідок.       Висновок виражає наше переконання у чомусь понад те, що випливає з безпосередньої перцепції.</w:t>
      </w:r>
    </w:p>
    <w:p w:rsidR="00B43F01" w:rsidRDefault="006811E0">
      <w:pPr>
        <w:spacing w:line="360" w:lineRule="auto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Авторитет</w:t>
      </w:r>
      <w:r>
        <w:rPr>
          <w:rFonts w:ascii="Arial" w:hAnsi="Arial"/>
          <w:i/>
          <w:snapToGrid w:val="0"/>
          <w:sz w:val="28"/>
        </w:rPr>
        <w:t xml:space="preserve"> — вчення мудреців, положення, викладені у священ</w:t>
      </w:r>
      <w:r>
        <w:rPr>
          <w:rFonts w:ascii="Arial" w:hAnsi="Arial"/>
          <w:i/>
          <w:snapToGrid w:val="0"/>
          <w:sz w:val="28"/>
        </w:rPr>
        <w:softHyphen/>
        <w:t>них книгах.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З</w:t>
      </w:r>
      <w:r>
        <w:rPr>
          <w:rFonts w:ascii="Arial" w:hAnsi="Arial"/>
          <w:snapToGrid w:val="0"/>
          <w:sz w:val="28"/>
        </w:rPr>
        <w:t xml:space="preserve"> усього сказаного випливає, що ранньобуддистська логіка була вплетена в загальнофілософські концепції, за</w:t>
      </w:r>
      <w:r>
        <w:rPr>
          <w:rFonts w:ascii="Arial" w:hAnsi="Arial"/>
          <w:snapToGrid w:val="0"/>
          <w:sz w:val="28"/>
        </w:rPr>
        <w:softHyphen/>
        <w:t>лежала від їх засад. До того ж, навіть у системі теорії ора</w:t>
      </w:r>
      <w:r>
        <w:rPr>
          <w:rFonts w:ascii="Arial" w:hAnsi="Arial"/>
          <w:snapToGrid w:val="0"/>
          <w:sz w:val="28"/>
        </w:rPr>
        <w:softHyphen/>
        <w:t>торського мистецтва, риторики елементи логіки були не</w:t>
      </w:r>
      <w:r>
        <w:rPr>
          <w:rFonts w:ascii="Arial" w:hAnsi="Arial"/>
          <w:snapToGrid w:val="0"/>
          <w:sz w:val="28"/>
        </w:rPr>
        <w:softHyphen/>
        <w:t>значними епізодичними вкрапленнями.</w:t>
      </w:r>
    </w:p>
    <w:p w:rsidR="00B43F01" w:rsidRDefault="00B43F01">
      <w:pPr>
        <w:spacing w:line="360" w:lineRule="auto"/>
        <w:jc w:val="center"/>
        <w:rPr>
          <w:rFonts w:ascii="Arial" w:hAnsi="Arial"/>
          <w:b/>
          <w:snapToGrid w:val="0"/>
          <w:sz w:val="32"/>
        </w:rPr>
      </w:pPr>
    </w:p>
    <w:p w:rsidR="00B43F01" w:rsidRDefault="00B43F01">
      <w:pPr>
        <w:spacing w:line="360" w:lineRule="auto"/>
        <w:jc w:val="center"/>
        <w:rPr>
          <w:rFonts w:ascii="Arial" w:hAnsi="Arial"/>
          <w:b/>
          <w:snapToGrid w:val="0"/>
          <w:sz w:val="32"/>
        </w:rPr>
      </w:pPr>
    </w:p>
    <w:p w:rsidR="00B43F01" w:rsidRDefault="00B43F01">
      <w:pPr>
        <w:spacing w:line="360" w:lineRule="auto"/>
        <w:jc w:val="center"/>
        <w:rPr>
          <w:rFonts w:ascii="Arial" w:hAnsi="Arial"/>
          <w:b/>
          <w:snapToGrid w:val="0"/>
          <w:sz w:val="32"/>
        </w:rPr>
      </w:pPr>
    </w:p>
    <w:p w:rsidR="00B43F01" w:rsidRDefault="006811E0">
      <w:pPr>
        <w:pStyle w:val="1"/>
      </w:pPr>
      <w:r>
        <w:t>Другий період. Логіка школи ньяя</w:t>
      </w:r>
    </w:p>
    <w:p w:rsidR="00B43F01" w:rsidRDefault="006811E0">
      <w:pPr>
        <w:spacing w:line="360" w:lineRule="auto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lang w:val="uk-UA"/>
        </w:rPr>
        <w:t>До другого періоду розвитку індійської логіки відно</w:t>
      </w:r>
      <w:r>
        <w:rPr>
          <w:rFonts w:ascii="Arial" w:hAnsi="Arial"/>
          <w:snapToGrid w:val="0"/>
          <w:sz w:val="28"/>
          <w:lang w:val="uk-UA"/>
        </w:rPr>
        <w:softHyphen/>
        <w:t xml:space="preserve">сять діяльність споріднених філософських шкіл вайшешика і ньяя. </w:t>
      </w:r>
      <w:r>
        <w:rPr>
          <w:rFonts w:ascii="Arial" w:hAnsi="Arial"/>
          <w:snapToGrid w:val="0"/>
          <w:sz w:val="28"/>
        </w:rPr>
        <w:t>Перша займалася переважно натурфілософськими проблемами, а друга — логікою.</w:t>
      </w:r>
    </w:p>
    <w:p w:rsidR="00B43F01" w:rsidRDefault="006811E0">
      <w:pPr>
        <w:spacing w:line="360" w:lineRule="auto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Джерело походження системи ньяя вбачають у поміченій ще з часів упанішад схильності індусів до дискусій, яка підсилилася за умов розпаду індійської філософії та виник</w:t>
      </w:r>
      <w:r>
        <w:rPr>
          <w:rFonts w:ascii="Arial" w:hAnsi="Arial"/>
          <w:snapToGrid w:val="0"/>
          <w:sz w:val="28"/>
        </w:rPr>
        <w:softHyphen/>
        <w:t>нення численних шкіл. Внаслідок цього з'явилася потреба у загальноприйнятому каноні, на який можна було б посила</w:t>
      </w:r>
      <w:r>
        <w:rPr>
          <w:rFonts w:ascii="Arial" w:hAnsi="Arial"/>
          <w:snapToGrid w:val="0"/>
          <w:sz w:val="28"/>
        </w:rPr>
        <w:softHyphen/>
        <w:t>тися, обґрунтовуючи правильність своїх і помилковість про</w:t>
      </w:r>
      <w:r>
        <w:rPr>
          <w:rFonts w:ascii="Arial" w:hAnsi="Arial"/>
          <w:snapToGrid w:val="0"/>
          <w:sz w:val="28"/>
        </w:rPr>
        <w:softHyphen/>
        <w:t>тилежних міркувань.</w:t>
      </w:r>
    </w:p>
    <w:p w:rsidR="00B43F01" w:rsidRDefault="006811E0">
      <w:pPr>
        <w:spacing w:line="360" w:lineRule="auto"/>
        <w:ind w:firstLine="3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Таким каноном логіки була система ньяя. Найдавнішим пам'ятником логіки ньяя, що дійшов до нас, є зібрання 538 сутр </w:t>
      </w:r>
      <w:r>
        <w:rPr>
          <w:rFonts w:ascii="Arial" w:hAnsi="Arial"/>
          <w:i/>
          <w:snapToGrid w:val="0"/>
          <w:sz w:val="28"/>
        </w:rPr>
        <w:t>(санскр. Сутра — правило, букв. — нитка, вірьовка)— термін давньоіндійської філософії; гранично стисле висловлювання, яке містить передусім опис того, що є в даному вченні.)</w:t>
      </w:r>
      <w:r>
        <w:rPr>
          <w:rFonts w:ascii="Arial" w:hAnsi="Arial"/>
          <w:snapToGrid w:val="0"/>
          <w:sz w:val="28"/>
        </w:rPr>
        <w:t xml:space="preserve">  Готами в п'яти книгах. Перша з них складається з двох частин. У першій викладається вчення про дев'ять категорій, в яких розкриваються структура суперечки і послідовність таких її складових: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«засвідчення своєї зброї», тобто знання канону логіки;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розгляд об'єкта суперечки;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спростування опонентом тези пропонента (за сучас</w:t>
      </w:r>
      <w:r>
        <w:rPr>
          <w:rFonts w:ascii="Arial" w:hAnsi="Arial"/>
          <w:snapToGrid w:val="0"/>
          <w:sz w:val="28"/>
        </w:rPr>
        <w:softHyphen/>
        <w:t>ною термінологією);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проголошення мотиву спростування;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орієнтація на приклад і досягнення згоди про те, що заздалегідь визнається учасниками суперечки чітко вста</w:t>
      </w:r>
      <w:r>
        <w:rPr>
          <w:rFonts w:ascii="Arial" w:hAnsi="Arial"/>
          <w:snapToGrid w:val="0"/>
          <w:sz w:val="28"/>
        </w:rPr>
        <w:softHyphen/>
        <w:t>новленим;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формулювання положення, що визначає предмет дис</w:t>
      </w:r>
      <w:r>
        <w:rPr>
          <w:rFonts w:ascii="Arial" w:hAnsi="Arial"/>
          <w:snapToGrid w:val="0"/>
          <w:sz w:val="28"/>
        </w:rPr>
        <w:softHyphen/>
        <w:t>кусії;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доведення пропонентом своєї тези за всіма правила</w:t>
      </w:r>
      <w:r>
        <w:rPr>
          <w:rFonts w:ascii="Arial" w:hAnsi="Arial"/>
          <w:snapToGrid w:val="0"/>
          <w:sz w:val="28"/>
        </w:rPr>
        <w:softHyphen/>
        <w:t>ми відповідного мистецтва;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спростування пропонентом протилежного тверджен</w:t>
      </w:r>
      <w:r>
        <w:rPr>
          <w:rFonts w:ascii="Arial" w:hAnsi="Arial"/>
          <w:snapToGrid w:val="0"/>
          <w:sz w:val="28"/>
        </w:rPr>
        <w:softHyphen/>
        <w:t>ня шляхом доведення, що з нього випливають неможливі наслідки;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одержання доведеної істини.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другій частині першої книги Готами у вигляді допов</w:t>
      </w:r>
      <w:r>
        <w:rPr>
          <w:rFonts w:ascii="Arial" w:hAnsi="Arial"/>
          <w:snapToGrid w:val="0"/>
          <w:sz w:val="28"/>
        </w:rPr>
        <w:softHyphen/>
        <w:t>нення до перелічених дев'яти категорій наводяться ще сім, в яких розглядаються помилки, що трапляються в сло</w:t>
      </w:r>
      <w:r>
        <w:rPr>
          <w:rFonts w:ascii="Arial" w:hAnsi="Arial"/>
          <w:snapToGrid w:val="0"/>
          <w:sz w:val="28"/>
        </w:rPr>
        <w:softHyphen/>
        <w:t>весному змаганні. Останнє відрізняється від наукової дис</w:t>
      </w:r>
      <w:r>
        <w:rPr>
          <w:rFonts w:ascii="Arial" w:hAnsi="Arial"/>
          <w:snapToGrid w:val="0"/>
          <w:sz w:val="28"/>
        </w:rPr>
        <w:softHyphen/>
        <w:t>кусії тим, що ведеться заради простої пристрасті до су</w:t>
      </w:r>
      <w:r>
        <w:rPr>
          <w:rFonts w:ascii="Arial" w:hAnsi="Arial"/>
          <w:snapToGrid w:val="0"/>
          <w:sz w:val="28"/>
        </w:rPr>
        <w:softHyphen/>
        <w:t>перечки і розраховане на те, щоб ввести супротивника в оману.</w:t>
      </w:r>
    </w:p>
    <w:p w:rsidR="00B43F01" w:rsidRDefault="006811E0">
      <w:pPr>
        <w:spacing w:line="360" w:lineRule="auto"/>
        <w:ind w:firstLine="3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Чотири наступні категорії пов'язували з підбором хиб</w:t>
      </w:r>
      <w:r>
        <w:rPr>
          <w:rFonts w:ascii="Arial" w:hAnsi="Arial"/>
          <w:snapToGrid w:val="0"/>
          <w:sz w:val="28"/>
        </w:rPr>
        <w:softHyphen/>
        <w:t>них доказів.</w:t>
      </w:r>
    </w:p>
    <w:p w:rsidR="00B43F01" w:rsidRDefault="006811E0">
      <w:pPr>
        <w:spacing w:line="360" w:lineRule="auto"/>
        <w:ind w:firstLine="3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Друга — п'ята книги Готами присвячені розвитку ду</w:t>
      </w:r>
      <w:r>
        <w:rPr>
          <w:rFonts w:ascii="Arial" w:hAnsi="Arial"/>
          <w:snapToGrid w:val="0"/>
          <w:sz w:val="28"/>
        </w:rPr>
        <w:softHyphen/>
        <w:t>мок, викладених у першій. У них йдеться про ті самі категорії, але розкриваються вони глибше, з деталь</w:t>
      </w:r>
      <w:r>
        <w:rPr>
          <w:rFonts w:ascii="Arial" w:hAnsi="Arial"/>
          <w:snapToGrid w:val="0"/>
          <w:sz w:val="28"/>
        </w:rPr>
        <w:softHyphen/>
        <w:t>ною критикою інших поглядів по найважливіших пунк</w:t>
      </w:r>
      <w:r>
        <w:rPr>
          <w:rFonts w:ascii="Arial" w:hAnsi="Arial"/>
          <w:snapToGrid w:val="0"/>
          <w:sz w:val="28"/>
        </w:rPr>
        <w:softHyphen/>
        <w:t>тах системи.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Умовиводи в школі ньяя поділялися на три види:</w:t>
      </w:r>
    </w:p>
    <w:p w:rsidR="00B43F01" w:rsidRDefault="006811E0">
      <w:pPr>
        <w:spacing w:line="360" w:lineRule="auto"/>
        <w:ind w:firstLine="3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умовивід від попереднього до наступного, від причи</w:t>
      </w:r>
      <w:r>
        <w:rPr>
          <w:rFonts w:ascii="Arial" w:hAnsi="Arial"/>
          <w:snapToGrid w:val="0"/>
          <w:sz w:val="28"/>
        </w:rPr>
        <w:softHyphen/>
        <w:t>ни до наслідку (наприклад, від констатації скупчення хмар до висновку про необхідне настання дощу);</w:t>
      </w:r>
    </w:p>
    <w:p w:rsidR="00B43F01" w:rsidRDefault="006811E0">
      <w:pPr>
        <w:spacing w:line="360" w:lineRule="auto"/>
        <w:ind w:firstLine="3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умовивід від наступного до попереднього, від на</w:t>
      </w:r>
      <w:r>
        <w:rPr>
          <w:rFonts w:ascii="Arial" w:hAnsi="Arial"/>
          <w:snapToGrid w:val="0"/>
          <w:sz w:val="28"/>
        </w:rPr>
        <w:softHyphen/>
        <w:t>слідку до причини (наприклад, від констатації факту наявності великої кількості води в гірському потоці до висновку Про зливу, що пройшла в горах);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умовивід за аналогією.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Для кращого розуміння вчення про умовивід школи ньяя та інших індійських філософських шкіл необхідно зупини</w:t>
      </w:r>
      <w:r>
        <w:rPr>
          <w:rFonts w:ascii="Arial" w:hAnsi="Arial"/>
          <w:snapToGrid w:val="0"/>
          <w:sz w:val="28"/>
        </w:rPr>
        <w:softHyphen/>
        <w:t>тися на теорії "проникнення". Звернемося до улюбленого в індійських підручниках логіки прикладу: «Я сприймаю, що на горі піднімається дим, а звідси роблю висновок про во</w:t>
      </w:r>
      <w:r>
        <w:rPr>
          <w:rFonts w:ascii="Arial" w:hAnsi="Arial"/>
          <w:snapToGrid w:val="0"/>
          <w:sz w:val="28"/>
        </w:rPr>
        <w:softHyphen/>
        <w:t>гонь, який має бути на горі (хоч безпосередньо я його й не сприймаю)». Тут «дим» є ознакою, а «вогонь» — носієм цієї ознаки. Між димом і вогнем, між ознакою і носієм цієї озна</w:t>
      </w:r>
      <w:r>
        <w:rPr>
          <w:rFonts w:ascii="Arial" w:hAnsi="Arial"/>
          <w:snapToGrid w:val="0"/>
          <w:sz w:val="28"/>
        </w:rPr>
        <w:softHyphen/>
        <w:t>ки, існує відношення проникнення - При цьому ознака роз</w:t>
      </w:r>
      <w:r>
        <w:rPr>
          <w:rFonts w:ascii="Arial" w:hAnsi="Arial"/>
          <w:snapToGrid w:val="0"/>
          <w:sz w:val="28"/>
        </w:rPr>
        <w:softHyphen/>
        <w:t>глядається як «проникнуте» (бо, де дим, там завжди і зо-гонь), а вогонь —• як «проникаюче», оскільки буває вогонь і без диму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Важливе місце в індійській логіці займає аналогія; «По</w:t>
      </w:r>
      <w:r>
        <w:rPr>
          <w:rFonts w:ascii="Arial" w:hAnsi="Arial"/>
          <w:snapToGrid w:val="0"/>
          <w:sz w:val="28"/>
        </w:rPr>
        <w:softHyphen/>
        <w:t>рівняння е доведення порівнюваного із Його подібності З відомим (сутра 16),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Наприклад: «Бик може бути мені відомим, але про буйвола я знаю тільки те, що за зовнішністю він схожий на бика. На підставі цього знання я можу, хоча ще ніколи раніше не бачив буйвола, при зустрічі з ним пізнати його і вказати іншим»</w:t>
      </w:r>
    </w:p>
    <w:p w:rsidR="00B43F01" w:rsidRDefault="006811E0">
      <w:pPr>
        <w:spacing w:line="360" w:lineRule="auto"/>
        <w:ind w:firstLine="30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Існує думка, що будь-який умовивід в розумінні школи ньяя — в кінцевому підсумку аналогія. І для таких висновків є вагомі підстави, оскільки засновник школи ньяя Готама навчав: в умовиводі підстава доводить те, що має бути до</w:t>
      </w:r>
      <w:r>
        <w:rPr>
          <w:rFonts w:ascii="Arial" w:hAnsi="Arial"/>
          <w:snapToGrid w:val="0"/>
          <w:sz w:val="28"/>
        </w:rPr>
        <w:softHyphen/>
        <w:t>ведено, вказівкою на подібність із прикладом або на відмінність від нього.</w:t>
      </w:r>
    </w:p>
    <w:p w:rsidR="00B43F01" w:rsidRDefault="006811E0">
      <w:pPr>
        <w:spacing w:line="360" w:lineRule="auto"/>
        <w:ind w:firstLine="30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Вчення ньяя проникнуте традиційною для індійської філософії ідеєю: осмислення категорій виступає не як про</w:t>
      </w:r>
      <w:r>
        <w:rPr>
          <w:rFonts w:ascii="Arial" w:hAnsi="Arial"/>
          <w:snapToGrid w:val="0"/>
          <w:sz w:val="28"/>
        </w:rPr>
        <w:softHyphen/>
        <w:t>стий засіб істинного пізнання, а як сама справжня повна істина, що несе звільнення стражденному людству.</w:t>
      </w:r>
    </w:p>
    <w:p w:rsidR="00B43F01" w:rsidRDefault="006811E0">
      <w:pPr>
        <w:pStyle w:val="3"/>
      </w:pPr>
      <w:r>
        <w:t>Третій період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Цей період індійської логіки називають періодом її роз</w:t>
      </w:r>
      <w:r>
        <w:rPr>
          <w:rFonts w:ascii="Arial" w:hAnsi="Arial"/>
          <w:snapToGrid w:val="0"/>
          <w:sz w:val="28"/>
        </w:rPr>
        <w:softHyphen/>
        <w:t xml:space="preserve">квіту.       Історія знає багатьох видатних індійських теоретиків у сфері буддистської логіки середини першого тисячоліття нової ери. Проте справжнім творцем буддистської логіки вважається </w:t>
      </w:r>
      <w:r>
        <w:rPr>
          <w:rFonts w:ascii="Arial" w:hAnsi="Arial"/>
          <w:i/>
          <w:snapToGrid w:val="0"/>
          <w:sz w:val="28"/>
        </w:rPr>
        <w:t>Дигнага,</w:t>
      </w:r>
      <w:r>
        <w:rPr>
          <w:rFonts w:ascii="Arial" w:hAnsi="Arial"/>
          <w:snapToGrid w:val="0"/>
          <w:sz w:val="28"/>
        </w:rPr>
        <w:t xml:space="preserve"> який відокремив її від філософії й розробив струнку систему логіки як самостійної науки. Головним твором цього мислителя є праця «Про джерела пізнання».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Сутність умовиводу, на думку Дигнаги, ґрунтується на нерозривному зв'язку понять, які створюються нашим мис</w:t>
      </w:r>
      <w:r>
        <w:rPr>
          <w:rFonts w:ascii="Arial" w:hAnsi="Arial"/>
          <w:snapToGrid w:val="0"/>
          <w:sz w:val="28"/>
        </w:rPr>
        <w:softHyphen/>
        <w:t>ленням.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Дигнага створив учення про три властивості логічної підстави, згідно з яким вона (підстава) має бути: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пов'язаною з об'єктом умовиводу, тобто з меншим терміном (наприклад; «на горбі є вогонь»);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пов'язаною з однорідними об'єктами (наприклад: «дим є скрізь, де є вогонь»);</w:t>
      </w:r>
    </w:p>
    <w:p w:rsidR="00B43F01" w:rsidRDefault="006811E0">
      <w:pPr>
        <w:spacing w:line="360" w:lineRule="auto"/>
        <w:ind w:firstLine="30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не пов'язаною з неоднорідними об'єктами (наприк</w:t>
      </w:r>
      <w:r>
        <w:rPr>
          <w:rFonts w:ascii="Arial" w:hAnsi="Arial"/>
          <w:snapToGrid w:val="0"/>
          <w:sz w:val="28"/>
        </w:rPr>
        <w:softHyphen/>
        <w:t>лад: «диму немає там, де немає вогню»).</w:t>
      </w:r>
    </w:p>
    <w:p w:rsidR="00B43F01" w:rsidRDefault="006811E0">
      <w:pPr>
        <w:spacing w:line="360" w:lineRule="auto"/>
        <w:ind w:firstLine="30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Відповідно до цих трьох властивостей логічної підстави дається і класифікація неправильних підстав (логічних по</w:t>
      </w:r>
      <w:r>
        <w:rPr>
          <w:rFonts w:ascii="Arial" w:hAnsi="Arial"/>
          <w:snapToGrid w:val="0"/>
          <w:sz w:val="28"/>
        </w:rPr>
        <w:softHyphen/>
        <w:t>милок), які поділяють на три види, оскільки три вказані властивості логічної підстави є й умовами правильності умо</w:t>
      </w:r>
      <w:r>
        <w:rPr>
          <w:rFonts w:ascii="Arial" w:hAnsi="Arial"/>
          <w:snapToGrid w:val="0"/>
          <w:sz w:val="28"/>
        </w:rPr>
        <w:softHyphen/>
        <w:t>виводу.</w:t>
      </w:r>
    </w:p>
    <w:p w:rsidR="00B43F01" w:rsidRDefault="006811E0">
      <w:pPr>
        <w:spacing w:line="360" w:lineRule="auto"/>
        <w:ind w:firstLine="30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Одним з найвидатніших буддистських теоретиків логі</w:t>
      </w:r>
      <w:r>
        <w:rPr>
          <w:rFonts w:ascii="Arial" w:hAnsi="Arial"/>
          <w:snapToGrid w:val="0"/>
          <w:sz w:val="28"/>
        </w:rPr>
        <w:softHyphen/>
        <w:t xml:space="preserve">ки був </w:t>
      </w:r>
      <w:r>
        <w:rPr>
          <w:rFonts w:ascii="Arial" w:hAnsi="Arial"/>
          <w:i/>
          <w:snapToGrid w:val="0"/>
          <w:sz w:val="28"/>
        </w:rPr>
        <w:t>Дхармакірті,</w:t>
      </w:r>
      <w:r>
        <w:rPr>
          <w:rFonts w:ascii="Arial" w:hAnsi="Arial"/>
          <w:snapToGrid w:val="0"/>
          <w:sz w:val="28"/>
        </w:rPr>
        <w:t xml:space="preserve"> якого називають Аристотелем Давньої Індії. Про його внесок у розвиток індійської логіки свідчить хоча б перелік його логічних трактатів. «Про до</w:t>
      </w:r>
      <w:r>
        <w:rPr>
          <w:rFonts w:ascii="Arial" w:hAnsi="Arial"/>
          <w:snapToGrid w:val="0"/>
          <w:sz w:val="28"/>
        </w:rPr>
        <w:softHyphen/>
        <w:t>стовірність пізнання», «Крапля логіки» (короткий підруч</w:t>
      </w:r>
      <w:r>
        <w:rPr>
          <w:rFonts w:ascii="Arial" w:hAnsi="Arial"/>
          <w:snapToGrid w:val="0"/>
          <w:sz w:val="28"/>
        </w:rPr>
        <w:softHyphen/>
        <w:t>ник логіки), «Короткий підручник про логічну підставу», «Дослідження про логічний зв'язок», «Повчання про нау</w:t>
      </w:r>
      <w:r>
        <w:rPr>
          <w:rFonts w:ascii="Arial" w:hAnsi="Arial"/>
          <w:snapToGrid w:val="0"/>
          <w:sz w:val="28"/>
        </w:rPr>
        <w:softHyphen/>
        <w:t>кові диспути», «Пояснення відмінності в синтезі уявлень». Головний його трактат має форму коментаря до твору Дигнаги «Про джерела пізнання» Цей трактат написано у віршованій формі.</w:t>
      </w:r>
    </w:p>
    <w:p w:rsidR="00B43F01" w:rsidRDefault="006811E0">
      <w:pPr>
        <w:spacing w:line="360" w:lineRule="auto"/>
        <w:jc w:val="both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Система логіки Дхармакірті складається з таких</w:t>
      </w:r>
      <w:r>
        <w:rPr>
          <w:rFonts w:ascii="Arial" w:hAnsi="Arial"/>
          <w:b/>
          <w:snapToGrid w:val="0"/>
          <w:sz w:val="28"/>
        </w:rPr>
        <w:t xml:space="preserve"> розділів:</w:t>
      </w:r>
    </w:p>
    <w:p w:rsidR="00B43F01" w:rsidRDefault="006811E0">
      <w:pPr>
        <w:spacing w:line="360" w:lineRule="auto"/>
        <w:ind w:firstLine="38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—учення про сприйняття;</w:t>
      </w:r>
    </w:p>
    <w:p w:rsidR="00B43F01" w:rsidRDefault="006811E0">
      <w:pPr>
        <w:spacing w:line="360" w:lineRule="auto"/>
        <w:ind w:firstLine="38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—умовивід «для себе»;</w:t>
      </w:r>
    </w:p>
    <w:p w:rsidR="00B43F01" w:rsidRDefault="006811E0">
      <w:pPr>
        <w:spacing w:line="360" w:lineRule="auto"/>
        <w:ind w:firstLine="38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умовивід «для інших»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— про логічні помилки.</w:t>
      </w:r>
    </w:p>
    <w:p w:rsidR="00B43F01" w:rsidRDefault="006811E0">
      <w:pPr>
        <w:spacing w:line="360" w:lineRule="auto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Правильними видами пізнання Дхармакірті визнавав лише сприйняття й умовивід. Будь-яке інше пізнання</w:t>
      </w:r>
      <w:r>
        <w:rPr>
          <w:rFonts w:ascii="Arial" w:hAnsi="Arial"/>
          <w:b/>
          <w:snapToGrid w:val="0"/>
          <w:sz w:val="28"/>
        </w:rPr>
        <w:t xml:space="preserve"> не </w:t>
      </w:r>
      <w:r>
        <w:rPr>
          <w:rFonts w:ascii="Arial" w:hAnsi="Arial"/>
          <w:snapToGrid w:val="0"/>
          <w:sz w:val="28"/>
        </w:rPr>
        <w:t>дає, на його думку, достовірних висновків. Об'єктом сприй</w:t>
      </w:r>
      <w:r>
        <w:rPr>
          <w:rFonts w:ascii="Arial" w:hAnsi="Arial"/>
          <w:snapToGrid w:val="0"/>
          <w:sz w:val="28"/>
        </w:rPr>
        <w:softHyphen/>
        <w:t>няття є одиничне, а об'єктом мислення — загальне (за</w:t>
      </w:r>
      <w:r>
        <w:rPr>
          <w:rFonts w:ascii="Arial" w:hAnsi="Arial"/>
          <w:snapToGrid w:val="0"/>
          <w:sz w:val="28"/>
        </w:rPr>
        <w:softHyphen/>
        <w:t>гальна сутність). Будь-яке судження є умовиводом «для себе», і в кожному сприйнятті вже міститься таке судження-умовивід. Так, сприймаючи синій предмет, ми маємо судження; «Цей предмет синій» Насправді ж це судження є умовиводом: «Цей предмет є синім, оскільки він підхо</w:t>
      </w:r>
      <w:r>
        <w:rPr>
          <w:rFonts w:ascii="Arial" w:hAnsi="Arial"/>
          <w:snapToGrid w:val="0"/>
          <w:sz w:val="28"/>
        </w:rPr>
        <w:softHyphen/>
        <w:t>дить під загальне поняття про сині предмети». Умовиводи, які виникають під час сприйняття, ще до того, як вони</w:t>
      </w:r>
    </w:p>
    <w:p w:rsidR="00B43F01" w:rsidRDefault="006811E0">
      <w:pPr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одержать мовну чи мовленеву оболонку, Дхармакірті нази</w:t>
      </w:r>
      <w:r>
        <w:rPr>
          <w:rFonts w:ascii="Arial" w:hAnsi="Arial"/>
          <w:snapToGrid w:val="0"/>
          <w:sz w:val="28"/>
        </w:rPr>
        <w:softHyphen/>
        <w:t>вав умовиводами «для себе»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Умовивід «для інших» — це умовивід, з допомогою</w:t>
      </w:r>
      <w:r>
        <w:rPr>
          <w:rFonts w:ascii="Arial" w:hAnsi="Arial"/>
          <w:b/>
          <w:snapToGrid w:val="0"/>
          <w:sz w:val="28"/>
        </w:rPr>
        <w:t xml:space="preserve"> яко</w:t>
      </w:r>
      <w:r>
        <w:rPr>
          <w:rFonts w:ascii="Arial" w:hAnsi="Arial"/>
          <w:b/>
          <w:snapToGrid w:val="0"/>
          <w:sz w:val="28"/>
        </w:rPr>
        <w:softHyphen/>
        <w:t>го</w:t>
      </w:r>
      <w:r>
        <w:rPr>
          <w:rFonts w:ascii="Arial" w:hAnsi="Arial"/>
          <w:snapToGrid w:val="0"/>
          <w:sz w:val="28"/>
        </w:rPr>
        <w:t xml:space="preserve"> щось повідомляється іншому.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Після викладу вчення про доведення</w:t>
      </w:r>
      <w:r>
        <w:rPr>
          <w:rFonts w:ascii="Arial" w:hAnsi="Arial"/>
          <w:snapToGrid w:val="0"/>
          <w:sz w:val="28"/>
          <w:vertAlign w:val="superscript"/>
        </w:rPr>
        <w:t>8</w:t>
      </w:r>
      <w:r>
        <w:rPr>
          <w:rFonts w:ascii="Arial" w:hAnsi="Arial"/>
          <w:snapToGrid w:val="0"/>
          <w:sz w:val="28"/>
        </w:rPr>
        <w:t>! логічні помилки Дхармакірті з'ясовує сутність спростування, яке він визна</w:t>
      </w:r>
      <w:r>
        <w:rPr>
          <w:rFonts w:ascii="Arial" w:hAnsi="Arial"/>
          <w:snapToGrid w:val="0"/>
          <w:sz w:val="28"/>
        </w:rPr>
        <w:softHyphen/>
        <w:t>чає як виявлення недосконалості доведення.</w:t>
      </w:r>
    </w:p>
    <w:p w:rsidR="00B43F01" w:rsidRDefault="006811E0">
      <w:pPr>
        <w:spacing w:line="360" w:lineRule="auto"/>
        <w:ind w:firstLine="34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Існували й інші філософські школи, які зробили певний внесок у розвиток індійської логіки.</w:t>
      </w:r>
    </w:p>
    <w:p w:rsidR="00B43F01" w:rsidRDefault="006811E0">
      <w:pPr>
        <w:spacing w:line="360" w:lineRule="auto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Логіка джайністів</w:t>
      </w:r>
      <w:r>
        <w:rPr>
          <w:rFonts w:ascii="Arial" w:hAnsi="Arial"/>
          <w:snapToGrid w:val="0"/>
          <w:sz w:val="28"/>
        </w:rPr>
        <w:t xml:space="preserve"> входила до теорії пізнання і ґрунтувала</w:t>
      </w:r>
      <w:r>
        <w:rPr>
          <w:rFonts w:ascii="Arial" w:hAnsi="Arial"/>
          <w:snapToGrid w:val="0"/>
          <w:sz w:val="28"/>
        </w:rPr>
        <w:softHyphen/>
        <w:t>ся на законі суперечності. Ними було детально розроблено тео</w:t>
      </w:r>
      <w:r>
        <w:rPr>
          <w:rFonts w:ascii="Arial" w:hAnsi="Arial"/>
          <w:snapToGrid w:val="0"/>
          <w:sz w:val="28"/>
        </w:rPr>
        <w:softHyphen/>
        <w:t>рію судження. Цікавим феноменом у сфері логіки та етики джай</w:t>
      </w:r>
      <w:r>
        <w:rPr>
          <w:rFonts w:ascii="Arial" w:hAnsi="Arial"/>
          <w:snapToGrid w:val="0"/>
          <w:sz w:val="28"/>
        </w:rPr>
        <w:softHyphen/>
        <w:t>нізму була обітниця сатья — утримування від брехливості  Переконливою була їх критика школи чарвака, яка наполягала на ненадійності виводу'</w:t>
      </w:r>
    </w:p>
    <w:p w:rsidR="00B43F01" w:rsidRDefault="006811E0">
      <w:pPr>
        <w:spacing w:line="360" w:lineRule="auto"/>
        <w:ind w:firstLine="340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Санкх'я</w:t>
      </w:r>
      <w:r>
        <w:rPr>
          <w:rFonts w:ascii="Arial" w:hAnsi="Arial"/>
          <w:snapToGrid w:val="0"/>
          <w:sz w:val="28"/>
        </w:rPr>
        <w:t xml:space="preserve"> поряд із сприйняттям і свідченням священного письма визнавала логічний умовивід одним із трьох неза</w:t>
      </w:r>
      <w:r>
        <w:rPr>
          <w:rFonts w:ascii="Arial" w:hAnsi="Arial"/>
          <w:snapToGrid w:val="0"/>
          <w:sz w:val="28"/>
        </w:rPr>
        <w:softHyphen/>
        <w:t>лежних джерел пізнання, аналізувала природу та умови здійснення виводу, класифікувала їх.</w:t>
      </w:r>
    </w:p>
    <w:p w:rsidR="00B43F01" w:rsidRDefault="006811E0">
      <w:pPr>
        <w:spacing w:line="360" w:lineRule="auto"/>
        <w:ind w:firstLine="340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Міманса</w:t>
      </w:r>
      <w:r>
        <w:rPr>
          <w:rFonts w:ascii="Arial" w:hAnsi="Arial"/>
          <w:snapToGrid w:val="0"/>
          <w:sz w:val="28"/>
        </w:rPr>
        <w:t xml:space="preserve"> крім сприйнять визнавала ще п'ять джерел достовірного пізнання (зокрема логічний вивід, порівнян</w:t>
      </w:r>
      <w:r>
        <w:rPr>
          <w:rFonts w:ascii="Arial" w:hAnsi="Arial"/>
          <w:snapToGrid w:val="0"/>
          <w:sz w:val="28"/>
        </w:rPr>
        <w:softHyphen/>
        <w:t>ня, постулювання тощо), методи і форми пізнання, які за</w:t>
      </w:r>
      <w:r>
        <w:rPr>
          <w:rFonts w:ascii="Arial" w:hAnsi="Arial"/>
          <w:snapToGrid w:val="0"/>
          <w:sz w:val="28"/>
        </w:rPr>
        <w:softHyphen/>
        <w:t>раз називають аналогією та гіпотезою.</w:t>
      </w:r>
    </w:p>
    <w:p w:rsidR="00B43F01" w:rsidRDefault="006811E0">
      <w:pPr>
        <w:rPr>
          <w:rFonts w:ascii="Arial" w:hAnsi="Arial"/>
        </w:rPr>
      </w:pPr>
      <w:r>
        <w:rPr>
          <w:rFonts w:ascii="Arial" w:hAnsi="Arial"/>
          <w:i/>
          <w:snapToGrid w:val="0"/>
          <w:sz w:val="28"/>
        </w:rPr>
        <w:t>Веданта</w:t>
      </w:r>
      <w:r>
        <w:rPr>
          <w:rFonts w:ascii="Arial" w:hAnsi="Arial"/>
          <w:snapToGrid w:val="0"/>
          <w:sz w:val="28"/>
        </w:rPr>
        <w:t xml:space="preserve"> аналізувала логічні суперечності й помилки в пізнанні.</w:t>
      </w:r>
      <w:bookmarkStart w:id="0" w:name="_GoBack"/>
      <w:bookmarkEnd w:id="0"/>
    </w:p>
    <w:sectPr w:rsidR="00B43F0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1E0"/>
    <w:rsid w:val="005B2E4E"/>
    <w:rsid w:val="006811E0"/>
    <w:rsid w:val="00B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3F970-D150-49A9-B25E-C14C61AF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snapToGrid w:val="0"/>
      <w:sz w:val="32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/>
      <w:b/>
      <w:snapToGrid w:val="0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320"/>
    </w:pPr>
    <w:rPr>
      <w:rFonts w:ascii="Arial" w:hAnsi="Arial"/>
      <w:snapToGrid w:val="0"/>
      <w:sz w:val="28"/>
      <w:lang w:val="uk-UA"/>
    </w:rPr>
  </w:style>
  <w:style w:type="paragraph" w:styleId="a4">
    <w:name w:val="Title"/>
    <w:basedOn w:val="a"/>
    <w:qFormat/>
    <w:pPr>
      <w:spacing w:line="360" w:lineRule="auto"/>
      <w:jc w:val="center"/>
    </w:pPr>
    <w:rPr>
      <w:rFonts w:ascii="Arial" w:hAnsi="Arial"/>
      <w:b/>
      <w:snapToGrid w:val="0"/>
      <w:sz w:val="36"/>
      <w:lang w:val="uk-UA"/>
    </w:rPr>
  </w:style>
  <w:style w:type="paragraph" w:styleId="2">
    <w:name w:val="Body Text Indent 2"/>
    <w:basedOn w:val="a"/>
    <w:semiHidden/>
    <w:pPr>
      <w:spacing w:line="360" w:lineRule="auto"/>
      <w:ind w:firstLine="720"/>
    </w:pPr>
    <w:rPr>
      <w:rFonts w:ascii="Arial" w:hAnsi="Arial"/>
      <w:snapToGrid w:val="0"/>
      <w:sz w:val="28"/>
      <w:lang w:val="uk-UA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" w:hAnsi="Arial"/>
      <w:snapToGrid w:val="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15539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2014-04-23T21:38:00Z</dcterms:created>
  <dcterms:modified xsi:type="dcterms:W3CDTF">2014-04-23T21:38:00Z</dcterms:modified>
  <cp:category>Гуманітарні науки</cp:category>
</cp:coreProperties>
</file>