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9C" w:rsidRDefault="00EB07F1">
      <w:pPr>
        <w:spacing w:before="108" w:line="220" w:lineRule="exact"/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РФ</w:t>
      </w:r>
    </w:p>
    <w:p w:rsidR="0093599C" w:rsidRDefault="00EB07F1">
      <w:pPr>
        <w:spacing w:before="108" w:line="220" w:lineRule="exact"/>
        <w:ind w:right="198"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Воронежский Государственный Университет</w:t>
      </w:r>
    </w:p>
    <w:p w:rsidR="0093599C" w:rsidRDefault="00EB07F1">
      <w:pPr>
        <w:spacing w:before="108" w:line="220" w:lineRule="exact"/>
        <w:ind w:right="198"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Химический факультет</w:t>
      </w:r>
    </w:p>
    <w:p w:rsidR="0093599C" w:rsidRDefault="00EB07F1">
      <w:pPr>
        <w:spacing w:before="108" w:line="220" w:lineRule="exact"/>
        <w:ind w:right="198"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аналитической химии</w:t>
      </w: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EB07F1">
      <w:pPr>
        <w:spacing w:before="108" w:line="220" w:lineRule="exact"/>
        <w:ind w:right="198" w:firstLine="426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РЕФЕРАТ </w:t>
      </w:r>
    </w:p>
    <w:p w:rsidR="0093599C" w:rsidRDefault="00EB07F1">
      <w:pPr>
        <w:spacing w:before="108" w:line="220" w:lineRule="exact"/>
        <w:ind w:right="198" w:firstLine="426"/>
        <w:jc w:val="center"/>
        <w:rPr>
          <w:color w:val="000000"/>
        </w:rPr>
      </w:pPr>
      <w:r>
        <w:rPr>
          <w:color w:val="000000"/>
          <w:sz w:val="36"/>
          <w:szCs w:val="36"/>
        </w:rPr>
        <w:t>по теме:</w:t>
      </w:r>
    </w:p>
    <w:p w:rsidR="0093599C" w:rsidRDefault="00EB07F1">
      <w:pPr>
        <w:spacing w:before="108" w:line="220" w:lineRule="exact"/>
        <w:ind w:firstLine="426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«Атомно-абсорбционная спектроскопия»</w:t>
      </w: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36"/>
          <w:szCs w:val="36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36"/>
          <w:szCs w:val="36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36"/>
          <w:szCs w:val="36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36"/>
          <w:szCs w:val="36"/>
        </w:rPr>
      </w:pPr>
    </w:p>
    <w:p w:rsidR="0093599C" w:rsidRDefault="00EB07F1">
      <w:pPr>
        <w:spacing w:before="108" w:line="220" w:lineRule="exact"/>
        <w:ind w:firstLine="426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Выполнил:</w:t>
      </w:r>
    </w:p>
    <w:p w:rsidR="0093599C" w:rsidRDefault="00EB07F1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студент 1 курса </w:t>
      </w:r>
    </w:p>
    <w:p w:rsidR="0093599C" w:rsidRDefault="00EB07F1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биолого-почвенного факультета</w:t>
      </w:r>
    </w:p>
    <w:p w:rsidR="0093599C" w:rsidRDefault="00EB07F1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группы</w:t>
      </w:r>
    </w:p>
    <w:p w:rsidR="0093599C" w:rsidRDefault="00EB07F1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Старинин А.Н.</w:t>
      </w: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EB07F1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Проверил</w:t>
      </w:r>
      <w:r>
        <w:rPr>
          <w:color w:val="000000"/>
          <w:sz w:val="24"/>
          <w:szCs w:val="24"/>
        </w:rPr>
        <w:t>: Аристов И.В.</w:t>
      </w: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right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</w:p>
    <w:p w:rsidR="0093599C" w:rsidRDefault="00EB07F1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-Воронеж-</w:t>
      </w:r>
    </w:p>
    <w:p w:rsidR="0093599C" w:rsidRDefault="00EB07F1">
      <w:pPr>
        <w:spacing w:before="108" w:line="220" w:lineRule="exact"/>
        <w:ind w:firstLine="42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2004 г.</w:t>
      </w: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08" w:line="360" w:lineRule="auto"/>
        <w:ind w:right="198" w:firstLine="426"/>
        <w:jc w:val="center"/>
        <w:rPr>
          <w:color w:val="000000"/>
          <w:sz w:val="32"/>
          <w:szCs w:val="32"/>
        </w:rPr>
      </w:pPr>
    </w:p>
    <w:p w:rsidR="0093599C" w:rsidRDefault="00EB07F1">
      <w:pPr>
        <w:spacing w:before="108" w:line="360" w:lineRule="auto"/>
        <w:ind w:right="198" w:firstLine="42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Содержание:</w:t>
      </w:r>
    </w:p>
    <w:p w:rsidR="0093599C" w:rsidRDefault="00EB07F1">
      <w:pPr>
        <w:spacing w:before="108" w:line="360" w:lineRule="auto"/>
        <w:ind w:right="198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   Введение…………………………………………………………………...3 стр.</w:t>
      </w:r>
    </w:p>
    <w:p w:rsidR="0093599C" w:rsidRDefault="00EB07F1">
      <w:pPr>
        <w:spacing w:before="108" w:line="360" w:lineRule="auto"/>
        <w:ind w:right="198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  Аппаратура………………………………………………………………...6 стр.</w:t>
      </w:r>
    </w:p>
    <w:p w:rsidR="0093599C" w:rsidRDefault="00EB07F1">
      <w:pPr>
        <w:spacing w:before="108" w:line="360" w:lineRule="auto"/>
        <w:ind w:right="198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 Список литературы……………………………………………………...11 стр.</w:t>
      </w: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before="108" w:line="220" w:lineRule="exact"/>
        <w:ind w:right="198" w:firstLine="426"/>
        <w:jc w:val="center"/>
        <w:rPr>
          <w:color w:val="000000"/>
          <w:sz w:val="24"/>
          <w:szCs w:val="24"/>
        </w:rPr>
      </w:pPr>
    </w:p>
    <w:p w:rsidR="0093599C" w:rsidRDefault="00EB07F1">
      <w:pPr>
        <w:spacing w:before="108" w:line="360" w:lineRule="auto"/>
        <w:ind w:right="198" w:firstLine="426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.Введение.</w:t>
      </w:r>
    </w:p>
    <w:p w:rsidR="0093599C" w:rsidRDefault="0093599C">
      <w:pPr>
        <w:spacing w:before="108" w:line="360" w:lineRule="auto"/>
        <w:ind w:right="198" w:firstLine="426"/>
        <w:jc w:val="center"/>
        <w:rPr>
          <w:color w:val="000000"/>
          <w:sz w:val="32"/>
          <w:szCs w:val="32"/>
        </w:rPr>
      </w:pPr>
    </w:p>
    <w:p w:rsidR="0093599C" w:rsidRDefault="00EB07F1">
      <w:pPr>
        <w:spacing w:before="108" w:line="360" w:lineRule="auto"/>
        <w:ind w:right="198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Метод атомно-абсорбционного спектрального анализа отли</w:t>
      </w:r>
      <w:r>
        <w:rPr>
          <w:color w:val="000000"/>
          <w:sz w:val="24"/>
          <w:szCs w:val="24"/>
        </w:rPr>
        <w:softHyphen/>
        <w:t>чается высокой абсолютной и относительной чувствительностью. Метод позволяет с большой точностью определять в растворах около восьмидесяти элементов в малых концентрациях, поэтому он широко применяется в биологии, медицине (для анализа органических жидкостей), в геологии, почвоведении (для опре</w:t>
      </w:r>
      <w:r>
        <w:rPr>
          <w:color w:val="000000"/>
          <w:sz w:val="24"/>
          <w:szCs w:val="24"/>
        </w:rPr>
        <w:softHyphen/>
        <w:t>деления микроэлементов в почвах) и других областях науки, а также в металлургии для исследований и контроля технологи</w:t>
      </w:r>
      <w:r>
        <w:rPr>
          <w:color w:val="000000"/>
          <w:sz w:val="24"/>
          <w:szCs w:val="24"/>
        </w:rPr>
        <w:softHyphen/>
        <w:t>ческих процессов.</w:t>
      </w:r>
    </w:p>
    <w:p w:rsidR="0093599C" w:rsidRDefault="00EB07F1">
      <w:pPr>
        <w:spacing w:line="360" w:lineRule="auto"/>
        <w:ind w:right="176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точности и чувствительности этот метод превосходит мно</w:t>
      </w:r>
      <w:r>
        <w:rPr>
          <w:color w:val="000000"/>
          <w:sz w:val="24"/>
          <w:szCs w:val="24"/>
        </w:rPr>
        <w:softHyphen/>
        <w:t>гие другие; поэтому его применяют при аттестации эталонных сплавов и геологических пород (путем перевода в раствор).</w:t>
      </w:r>
    </w:p>
    <w:p w:rsidR="0093599C" w:rsidRDefault="00EB07F1">
      <w:pPr>
        <w:spacing w:line="360" w:lineRule="auto"/>
        <w:ind w:right="104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Чувствительность определения большинства элементов в вод</w:t>
      </w:r>
      <w:r>
        <w:rPr>
          <w:color w:val="000000"/>
          <w:sz w:val="24"/>
          <w:szCs w:val="24"/>
        </w:rPr>
        <w:softHyphen/>
        <w:t>ных растворах с пламенной атомизацией лежит в интервале от 0,005 до л-10 мкг/мл (т. е. от 5*10</w:t>
      </w:r>
      <w:r>
        <w:rPr>
          <w:color w:val="000000"/>
          <w:position w:val="6"/>
          <w:sz w:val="24"/>
          <w:szCs w:val="24"/>
        </w:rPr>
        <w:t>-7</w:t>
      </w:r>
      <w:r>
        <w:rPr>
          <w:color w:val="000000"/>
          <w:sz w:val="24"/>
          <w:szCs w:val="24"/>
        </w:rPr>
        <w:t xml:space="preserve"> до 10</w:t>
      </w:r>
      <w:r>
        <w:rPr>
          <w:color w:val="000000"/>
          <w:position w:val="6"/>
          <w:sz w:val="24"/>
          <w:szCs w:val="24"/>
        </w:rPr>
        <w:t>-3</w:t>
      </w:r>
      <w:r>
        <w:rPr>
          <w:color w:val="000000"/>
          <w:sz w:val="24"/>
          <w:szCs w:val="24"/>
        </w:rPr>
        <w:t>—10</w:t>
      </w:r>
      <w:r>
        <w:rPr>
          <w:color w:val="000000"/>
          <w:position w:val="6"/>
          <w:sz w:val="24"/>
          <w:szCs w:val="24"/>
        </w:rPr>
        <w:t>-4</w:t>
      </w:r>
      <w:r>
        <w:rPr>
          <w:color w:val="000000"/>
          <w:sz w:val="24"/>
          <w:szCs w:val="24"/>
        </w:rPr>
        <w:t>%): при этом расходуется от 0,1 до нескольких миллилитров раствора. Ошибка воспроизводимости единичного измерения (коэффи</w:t>
      </w:r>
      <w:r>
        <w:rPr>
          <w:color w:val="000000"/>
          <w:sz w:val="24"/>
          <w:szCs w:val="24"/>
        </w:rPr>
        <w:softHyphen/>
        <w:t>циент вариации) р≤0,5% при благоприятных условиях измере</w:t>
      </w:r>
      <w:r>
        <w:rPr>
          <w:color w:val="000000"/>
          <w:sz w:val="24"/>
          <w:szCs w:val="24"/>
        </w:rPr>
        <w:softHyphen/>
        <w:t>ния. На каждое измерение интенсивности аналитической линии затрачивается, как правило, не более 30 с. Столь высокая воспроизводимости результатов анализа объясняется стабильно</w:t>
      </w:r>
      <w:r>
        <w:rPr>
          <w:color w:val="000000"/>
          <w:sz w:val="24"/>
          <w:szCs w:val="24"/>
        </w:rPr>
        <w:softHyphen/>
        <w:t xml:space="preserve">стью пламенного атомизатора, а также и высокой точностью схем регистрации и измерения интенсивности аналитических линий в приборах, предназначенных для атомно-абсорбционного анализа. </w:t>
      </w:r>
    </w:p>
    <w:p w:rsidR="0093599C" w:rsidRDefault="00EB07F1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Существенные ошибки, связанные с изменением общей компо</w:t>
      </w:r>
      <w:r>
        <w:rPr>
          <w:color w:val="000000"/>
          <w:sz w:val="24"/>
          <w:szCs w:val="24"/>
        </w:rPr>
        <w:softHyphen/>
        <w:t>зиции проб, возникают лишь при анализе растворов сложного переменного состава; такие ошибки, как и в пламенной фотометрии, связаны с влиянием состава пробы на процессы атомизации, включая и распыление раствора.</w:t>
      </w:r>
    </w:p>
    <w:p w:rsidR="0093599C" w:rsidRDefault="00EB07F1">
      <w:pPr>
        <w:spacing w:line="360" w:lineRule="auto"/>
        <w:ind w:right="47"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Сравнение с эмиссионно-пламенной фотометрией показывает, что большая часть элементов опреде</w:t>
      </w:r>
      <w:r>
        <w:rPr>
          <w:color w:val="000000"/>
          <w:sz w:val="24"/>
          <w:szCs w:val="24"/>
        </w:rPr>
        <w:softHyphen/>
        <w:t>ляется методом атомной абсорбции с более высокой или равной чувствительностью. По имеющимся данным с меньшей чувстви</w:t>
      </w:r>
      <w:r>
        <w:rPr>
          <w:color w:val="000000"/>
          <w:sz w:val="24"/>
          <w:szCs w:val="24"/>
        </w:rPr>
        <w:softHyphen/>
        <w:t>тельностью определяются, главным образом, щелочные и ще</w:t>
      </w:r>
      <w:r>
        <w:rPr>
          <w:color w:val="000000"/>
          <w:sz w:val="24"/>
          <w:szCs w:val="24"/>
        </w:rPr>
        <w:softHyphen/>
        <w:t>лочноземельные элементы, у которых длина волны резонансных линий более 300 нм.</w:t>
      </w:r>
    </w:p>
    <w:p w:rsidR="0093599C" w:rsidRDefault="00EB07F1">
      <w:pPr>
        <w:spacing w:line="360" w:lineRule="auto"/>
        <w:ind w:right="22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До разработки беспламенных способов атомизации область применения атомных спектров поглощения ограничивалась анализом растворов. Приемы беспламенной атомизации позволяют непосредственно  анализировать  порошковые  и твердые  пробы малых размеров с абсолютной чувствительностью порядка 10</w:t>
      </w:r>
      <w:r>
        <w:rPr>
          <w:color w:val="000000"/>
          <w:position w:val="6"/>
          <w:sz w:val="24"/>
          <w:szCs w:val="24"/>
        </w:rPr>
        <w:t>-8</w:t>
      </w:r>
      <w:r>
        <w:rPr>
          <w:color w:val="000000"/>
          <w:sz w:val="24"/>
          <w:szCs w:val="24"/>
        </w:rPr>
        <w:t>—10</w:t>
      </w:r>
      <w:r>
        <w:rPr>
          <w:color w:val="000000"/>
          <w:position w:val="6"/>
          <w:sz w:val="24"/>
          <w:szCs w:val="24"/>
        </w:rPr>
        <w:t>-14</w:t>
      </w:r>
      <w:r>
        <w:rPr>
          <w:color w:val="000000"/>
          <w:sz w:val="24"/>
          <w:szCs w:val="24"/>
        </w:rPr>
        <w:t xml:space="preserve"> г в зависимости от элемента; по точности они усту</w:t>
      </w:r>
      <w:r>
        <w:rPr>
          <w:color w:val="000000"/>
          <w:sz w:val="24"/>
          <w:szCs w:val="24"/>
        </w:rPr>
        <w:softHyphen/>
        <w:t>пают пламенным методам.</w:t>
      </w:r>
    </w:p>
    <w:p w:rsidR="0093599C" w:rsidRDefault="0093599C">
      <w:pPr>
        <w:spacing w:line="360" w:lineRule="auto"/>
        <w:ind w:right="22" w:firstLine="426"/>
        <w:rPr>
          <w:color w:val="000000"/>
          <w:sz w:val="24"/>
          <w:szCs w:val="24"/>
        </w:rPr>
      </w:pPr>
    </w:p>
    <w:p w:rsidR="0093599C" w:rsidRDefault="00EB07F1">
      <w:pPr>
        <w:pStyle w:val="a7"/>
        <w:spacing w:before="249" w:after="0" w:line="360" w:lineRule="auto"/>
        <w:ind w:right="431" w:firstLine="142"/>
        <w:jc w:val="center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Зависимость резонансного поглощения от атомной концентрации.</w:t>
      </w:r>
    </w:p>
    <w:p w:rsidR="0093599C" w:rsidRDefault="00EB07F1">
      <w:pPr>
        <w:pStyle w:val="a7"/>
        <w:spacing w:before="249" w:after="0" w:line="360" w:lineRule="auto"/>
        <w:ind w:right="431" w:firstLine="426"/>
        <w:rPr>
          <w:color w:val="000000"/>
        </w:rPr>
      </w:pPr>
      <w:r>
        <w:rPr>
          <w:color w:val="000000"/>
        </w:rPr>
        <w:t>Поглощение света веществом выражается законом Бугера—Ламберта—Бера:</w:t>
      </w:r>
    </w:p>
    <w:p w:rsidR="0093599C" w:rsidRDefault="00EB07F1">
      <w:pPr>
        <w:pStyle w:val="a7"/>
        <w:spacing w:before="249" w:after="0" w:line="360" w:lineRule="auto"/>
        <w:ind w:right="431" w:firstLine="426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I=I</w:t>
      </w:r>
      <w:r>
        <w:rPr>
          <w:color w:val="000000"/>
          <w:position w:val="-6"/>
          <w:lang w:val="en-US"/>
        </w:rPr>
        <w:t>0</w:t>
      </w:r>
      <w:r>
        <w:rPr>
          <w:color w:val="000000"/>
          <w:lang w:val="en-US"/>
        </w:rPr>
        <w:t>e</w:t>
      </w:r>
      <w:r>
        <w:rPr>
          <w:color w:val="000000"/>
          <w:position w:val="6"/>
          <w:lang w:val="en-US"/>
        </w:rPr>
        <w:t>-</w:t>
      </w:r>
      <w:r>
        <w:rPr>
          <w:color w:val="000000"/>
          <w:position w:val="6"/>
        </w:rPr>
        <w:t>ас</w:t>
      </w:r>
      <w:r>
        <w:rPr>
          <w:color w:val="000000"/>
          <w:position w:val="6"/>
          <w:lang w:val="en-US"/>
        </w:rPr>
        <w:t>l</w:t>
      </w:r>
      <w:r>
        <w:rPr>
          <w:color w:val="000000"/>
          <w:lang w:val="en-US"/>
        </w:rPr>
        <w:t>,</w:t>
      </w:r>
    </w:p>
    <w:p w:rsidR="0093599C" w:rsidRDefault="00EB07F1">
      <w:pPr>
        <w:pStyle w:val="a7"/>
        <w:spacing w:before="164" w:after="0" w:line="360" w:lineRule="auto"/>
        <w:ind w:firstLine="426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Где I</w:t>
      </w:r>
      <w:r>
        <w:rPr>
          <w:color w:val="000000"/>
          <w:position w:val="-6"/>
        </w:rPr>
        <w:t>0</w:t>
      </w:r>
      <w:r>
        <w:rPr>
          <w:color w:val="000000"/>
        </w:rPr>
        <w:t>- интенсивность падающего излучения; I - интенсивность излучения, прошедшего вещество; а - показатель поглощения света, рассчитанный на еди</w:t>
      </w:r>
      <w:r>
        <w:rPr>
          <w:color w:val="000000"/>
        </w:rPr>
        <w:softHyphen/>
        <w:t>ницу концентрации поглощающего компонента и на единицу толщины слоя;</w:t>
      </w:r>
    </w:p>
    <w:p w:rsidR="0093599C" w:rsidRDefault="00EB07F1">
      <w:pPr>
        <w:pStyle w:val="a7"/>
        <w:spacing w:after="0" w:line="360" w:lineRule="auto"/>
        <w:ind w:right="862"/>
        <w:rPr>
          <w:color w:val="000000"/>
        </w:rPr>
      </w:pPr>
      <w:r>
        <w:rPr>
          <w:i/>
          <w:iCs/>
          <w:color w:val="000000"/>
        </w:rPr>
        <w:t xml:space="preserve">с </w:t>
      </w:r>
      <w:r>
        <w:rPr>
          <w:color w:val="000000"/>
        </w:rPr>
        <w:t xml:space="preserve">- концентрация поглощающего компонента; 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 - толщина поглощающего слоя. В аналитической химии пользуются следующими спектро-фотометрическими величинами: пропусканием Т(I/I</w:t>
      </w:r>
      <w:r>
        <w:rPr>
          <w:color w:val="000000"/>
          <w:position w:val="-6"/>
        </w:rPr>
        <w:t>0</w:t>
      </w:r>
      <w:r>
        <w:rPr>
          <w:color w:val="000000"/>
        </w:rPr>
        <w:t>) и пог</w:t>
      </w:r>
      <w:r>
        <w:rPr>
          <w:color w:val="000000"/>
        </w:rPr>
        <w:softHyphen/>
        <w:t xml:space="preserve">лощением 1 — </w:t>
      </w:r>
      <w:r>
        <w:rPr>
          <w:i/>
          <w:iCs/>
          <w:color w:val="000000"/>
        </w:rPr>
        <w:t xml:space="preserve">Т, </w:t>
      </w:r>
      <w:r>
        <w:rPr>
          <w:color w:val="000000"/>
        </w:rPr>
        <w:t>выражаемыми в процентах, а также оптиче</w:t>
      </w:r>
      <w:r>
        <w:rPr>
          <w:color w:val="000000"/>
        </w:rPr>
        <w:softHyphen/>
        <w:t xml:space="preserve">ской плотностью </w:t>
      </w:r>
      <w:r>
        <w:rPr>
          <w:i/>
          <w:iCs/>
          <w:color w:val="000000"/>
          <w:lang w:val="en-US"/>
        </w:rPr>
        <w:t>D</w:t>
      </w:r>
      <w:r>
        <w:rPr>
          <w:color w:val="000000"/>
        </w:rPr>
        <w:t>— безразмерной величиной, изменяющей</w:t>
      </w:r>
      <w:r>
        <w:rPr>
          <w:color w:val="000000"/>
        </w:rPr>
        <w:softHyphen/>
        <w:t>ся от нуля до бесконечно больших значений (практически до 2—3). Указанные величины связаны таким соотношением:</w:t>
      </w:r>
    </w:p>
    <w:p w:rsidR="0093599C" w:rsidRDefault="00EB07F1">
      <w:pPr>
        <w:spacing w:line="360" w:lineRule="auto"/>
        <w:ind w:right="22" w:firstLine="426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i/>
          <w:iCs/>
          <w:color w:val="000000"/>
          <w:sz w:val="24"/>
          <w:szCs w:val="24"/>
          <w:lang w:val="en-US"/>
        </w:rPr>
        <w:t>=</w:t>
      </w:r>
      <w:r>
        <w:rPr>
          <w:color w:val="000000"/>
          <w:sz w:val="24"/>
          <w:szCs w:val="24"/>
          <w:lang w:val="en-US"/>
        </w:rPr>
        <w:t>-lg T=бcl.</w:t>
      </w:r>
    </w:p>
    <w:p w:rsidR="0093599C" w:rsidRDefault="00EB07F1">
      <w:pPr>
        <w:pStyle w:val="a7"/>
        <w:spacing w:before="102" w:after="0" w:line="360" w:lineRule="auto"/>
        <w:ind w:left="6" w:hanging="6"/>
        <w:rPr>
          <w:color w:val="000000"/>
        </w:rPr>
      </w:pPr>
      <w:r>
        <w:rPr>
          <w:color w:val="000000"/>
          <w:lang w:val="en-US"/>
        </w:rPr>
        <w:t xml:space="preserve">       </w:t>
      </w:r>
      <w:r>
        <w:rPr>
          <w:color w:val="000000"/>
        </w:rPr>
        <w:t>Для случая поглощения монохроматической линии:</w:t>
      </w:r>
    </w:p>
    <w:p w:rsidR="0093599C" w:rsidRDefault="00EB07F1">
      <w:pPr>
        <w:pStyle w:val="a7"/>
        <w:spacing w:before="102" w:after="0" w:line="360" w:lineRule="auto"/>
        <w:ind w:left="6" w:hanging="6"/>
        <w:jc w:val="center"/>
        <w:rPr>
          <w:color w:val="000000"/>
          <w:lang w:val="en-US"/>
        </w:rPr>
      </w:pPr>
      <w:r>
        <w:rPr>
          <w:color w:val="000000"/>
        </w:rPr>
        <w:t>α</w:t>
      </w:r>
      <w:r>
        <w:rPr>
          <w:color w:val="000000"/>
          <w:lang w:val="en-US"/>
        </w:rPr>
        <w:t>≈(</w:t>
      </w:r>
      <w:r>
        <w:rPr>
          <w:color w:val="000000"/>
        </w:rPr>
        <w:t>π</w:t>
      </w:r>
      <w:r>
        <w:rPr>
          <w:color w:val="000000"/>
          <w:lang w:val="en-US"/>
        </w:rPr>
        <w:t>e</w:t>
      </w:r>
      <w:r>
        <w:rPr>
          <w:color w:val="000000"/>
          <w:position w:val="6"/>
          <w:lang w:val="en-US"/>
        </w:rPr>
        <w:t>2</w:t>
      </w:r>
      <w:r>
        <w:rPr>
          <w:color w:val="000000"/>
          <w:lang w:val="en-US"/>
        </w:rPr>
        <w:t>f)/(mc),</w:t>
      </w:r>
    </w:p>
    <w:p w:rsidR="0093599C" w:rsidRDefault="00EB07F1">
      <w:pPr>
        <w:pStyle w:val="a7"/>
        <w:spacing w:before="102" w:after="0" w:line="360" w:lineRule="auto"/>
        <w:ind w:left="6" w:hanging="6"/>
        <w:rPr>
          <w:color w:val="000000"/>
        </w:rPr>
      </w:pPr>
      <w:r>
        <w:rPr>
          <w:color w:val="000000"/>
        </w:rPr>
        <w:t xml:space="preserve">где </w:t>
      </w:r>
      <w:r>
        <w:rPr>
          <w:i/>
          <w:iCs/>
          <w:color w:val="000000"/>
        </w:rPr>
        <w:t xml:space="preserve">е, т, с </w:t>
      </w:r>
      <w:r>
        <w:rPr>
          <w:color w:val="000000"/>
        </w:rPr>
        <w:t>— физические постоянные;</w:t>
      </w:r>
    </w:p>
    <w:p w:rsidR="0093599C" w:rsidRDefault="00EB07F1">
      <w:pPr>
        <w:pStyle w:val="a7"/>
        <w:spacing w:before="6" w:after="0" w:line="360" w:lineRule="auto"/>
        <w:ind w:left="6" w:hanging="6"/>
        <w:rPr>
          <w:color w:val="000000"/>
        </w:rPr>
      </w:pPr>
      <w:r>
        <w:rPr>
          <w:color w:val="000000"/>
          <w:lang w:val="en-US"/>
        </w:rPr>
        <w:t>f</w:t>
      </w:r>
      <w:r>
        <w:rPr>
          <w:color w:val="000000"/>
        </w:rPr>
        <w:t>— осцилляторная сила, т. е. среднее число элек</w:t>
      </w:r>
      <w:r>
        <w:rPr>
          <w:color w:val="000000"/>
        </w:rPr>
        <w:softHyphen/>
        <w:t>тронов, приходящихся на атом, которые могут быть возбуждены излучением.</w:t>
      </w:r>
    </w:p>
    <w:p w:rsidR="0093599C" w:rsidRDefault="00EB07F1">
      <w:pPr>
        <w:pStyle w:val="a7"/>
        <w:spacing w:before="142" w:after="0" w:line="360" w:lineRule="auto"/>
        <w:ind w:firstLine="318"/>
        <w:rPr>
          <w:color w:val="000000"/>
        </w:rPr>
      </w:pPr>
      <w:r>
        <w:rPr>
          <w:color w:val="000000"/>
        </w:rPr>
        <w:t>Для пламени ввиду неолноты диссоциации на атомы окислов и гидроокисей большинства элементов , а также вследствие неполного испарения растворенного вещества теоретический расчет кон</w:t>
      </w:r>
      <w:r>
        <w:rPr>
          <w:color w:val="000000"/>
        </w:rPr>
        <w:softHyphen/>
        <w:t>центрации элемента по его оптической плотности не является возможным; но, в случае испарения образца в графитовой кювете и при повышенном давлении, теоретический расчет концентрации можно произвести, пользуясь следующим соот</w:t>
      </w:r>
      <w:r>
        <w:rPr>
          <w:color w:val="000000"/>
        </w:rPr>
        <w:softHyphen/>
        <w:t>ношением:</w:t>
      </w:r>
    </w:p>
    <w:p w:rsidR="0093599C" w:rsidRDefault="00EB07F1">
      <w:pPr>
        <w:autoSpaceDE/>
        <w:spacing w:before="100" w:line="360" w:lineRule="auto"/>
        <w:jc w:val="center"/>
        <w:rPr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D=1.5*10</w:t>
      </w:r>
      <w:r>
        <w:rPr>
          <w:color w:val="000000"/>
          <w:position w:val="6"/>
          <w:sz w:val="24"/>
          <w:szCs w:val="24"/>
          <w:shd w:val="clear" w:color="auto" w:fill="FFFFFF"/>
          <w:lang w:val="en-US"/>
        </w:rPr>
        <w:t>11</w:t>
      </w:r>
      <w:r>
        <w:rPr>
          <w:color w:val="000000"/>
          <w:sz w:val="24"/>
          <w:szCs w:val="24"/>
          <w:shd w:val="clear" w:color="auto" w:fill="FFFFFF"/>
          <w:lang w:val="en-US"/>
        </w:rPr>
        <w:t>*(</w:t>
      </w:r>
      <w:r>
        <w:rPr>
          <w:color w:val="000000"/>
          <w:sz w:val="24"/>
          <w:szCs w:val="24"/>
          <w:shd w:val="clear" w:color="auto" w:fill="FFFFFF"/>
        </w:rPr>
        <w:t>Δ</w:t>
      </w:r>
      <w:r>
        <w:rPr>
          <w:color w:val="000000"/>
          <w:sz w:val="24"/>
          <w:szCs w:val="24"/>
          <w:shd w:val="clear" w:color="auto" w:fill="FFFFFF"/>
          <w:lang w:val="en-US"/>
        </w:rPr>
        <w:t>ν</w:t>
      </w:r>
      <w:r>
        <w:rPr>
          <w:color w:val="000000"/>
          <w:sz w:val="24"/>
          <w:szCs w:val="24"/>
          <w:shd w:val="clear" w:color="auto" w:fill="FFFFFF"/>
          <w:vertAlign w:val="subscript"/>
          <w:lang w:val="en-US"/>
        </w:rPr>
        <w:t>λ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/( </w:t>
      </w:r>
      <w:r>
        <w:rPr>
          <w:color w:val="000000"/>
          <w:sz w:val="24"/>
          <w:szCs w:val="24"/>
          <w:shd w:val="clear" w:color="auto" w:fill="FFFFFF"/>
        </w:rPr>
        <w:t>Δ</w:t>
      </w:r>
      <w:r>
        <w:rPr>
          <w:color w:val="000000"/>
          <w:sz w:val="24"/>
          <w:szCs w:val="24"/>
          <w:shd w:val="clear" w:color="auto" w:fill="FFFFFF"/>
          <w:lang w:val="en-US"/>
        </w:rPr>
        <w:t>ν</w:t>
      </w:r>
      <w:r>
        <w:rPr>
          <w:color w:val="000000"/>
          <w:sz w:val="24"/>
          <w:szCs w:val="24"/>
          <w:shd w:val="clear" w:color="auto" w:fill="FFFFFF"/>
          <w:vertAlign w:val="subscript"/>
          <w:lang w:val="en-US"/>
        </w:rPr>
        <w:t>λ</w:t>
      </w:r>
      <w:r>
        <w:rPr>
          <w:color w:val="000000"/>
          <w:sz w:val="24"/>
          <w:szCs w:val="24"/>
          <w:shd w:val="clear" w:color="auto" w:fill="FFFFFF"/>
          <w:lang w:val="en-US"/>
        </w:rPr>
        <w:t>+4Δν</w:t>
      </w:r>
      <w:r>
        <w:rPr>
          <w:color w:val="000000"/>
          <w:position w:val="6"/>
          <w:sz w:val="24"/>
          <w:szCs w:val="24"/>
          <w:shd w:val="clear" w:color="auto" w:fill="FFFFFF"/>
          <w:lang w:val="en-US"/>
        </w:rPr>
        <w:t>2</w:t>
      </w:r>
      <w:r>
        <w:rPr>
          <w:color w:val="000000"/>
          <w:position w:val="-6"/>
          <w:sz w:val="24"/>
          <w:szCs w:val="24"/>
          <w:shd w:val="clear" w:color="auto" w:fill="FFFFFF"/>
          <w:lang w:val="en-US"/>
        </w:rPr>
        <w:t>c</w:t>
      </w:r>
      <w:r>
        <w:rPr>
          <w:color w:val="000000"/>
          <w:sz w:val="24"/>
          <w:szCs w:val="24"/>
          <w:shd w:val="clear" w:color="auto" w:fill="FFFFFF"/>
          <w:lang w:val="en-US"/>
        </w:rPr>
        <w:t>))*(f/A)*(M/S),</w:t>
      </w:r>
    </w:p>
    <w:p w:rsidR="0093599C" w:rsidRDefault="00EB07F1">
      <w:pPr>
        <w:autoSpaceDE/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i/>
          <w:iCs/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— оптическая плотность атомного пара;</w:t>
      </w:r>
    </w:p>
    <w:p w:rsidR="0093599C" w:rsidRDefault="00EB07F1">
      <w:pPr>
        <w:autoSpaceDE/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Δ</w:t>
      </w:r>
      <w:r>
        <w:rPr>
          <w:color w:val="000000"/>
          <w:sz w:val="24"/>
          <w:szCs w:val="24"/>
          <w:shd w:val="clear" w:color="auto" w:fill="FFFFFF"/>
          <w:lang w:val="en-US"/>
        </w:rPr>
        <w:t>ν</w:t>
      </w:r>
      <w:r>
        <w:rPr>
          <w:color w:val="000000"/>
          <w:sz w:val="24"/>
          <w:szCs w:val="24"/>
          <w:shd w:val="clear" w:color="auto" w:fill="FFFFFF"/>
          <w:vertAlign w:val="subscript"/>
          <w:lang w:val="en-US"/>
        </w:rPr>
        <w:t>λ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Δ</w:t>
      </w:r>
      <w:r>
        <w:rPr>
          <w:color w:val="000000"/>
          <w:sz w:val="24"/>
          <w:szCs w:val="24"/>
          <w:shd w:val="clear" w:color="auto" w:fill="FFFFFF"/>
          <w:lang w:val="en-US"/>
        </w:rPr>
        <w:t>ν</w:t>
      </w:r>
      <w:r>
        <w:rPr>
          <w:color w:val="000000"/>
          <w:sz w:val="24"/>
          <w:szCs w:val="24"/>
          <w:shd w:val="clear" w:color="auto" w:fill="FFFFFF"/>
          <w:vertAlign w:val="subscript"/>
        </w:rPr>
        <w:t>С</w:t>
      </w:r>
      <w:r>
        <w:rPr>
          <w:color w:val="000000"/>
          <w:sz w:val="24"/>
          <w:szCs w:val="24"/>
        </w:rPr>
        <w:t xml:space="preserve"> —полуширина и сдвиг линии поглощения, см</w:t>
      </w:r>
      <w:r>
        <w:rPr>
          <w:color w:val="000000"/>
          <w:position w:val="6"/>
          <w:sz w:val="24"/>
          <w:szCs w:val="24"/>
        </w:rPr>
        <w:t>-1</w:t>
      </w:r>
      <w:r>
        <w:rPr>
          <w:i/>
          <w:iCs/>
          <w:color w:val="000000"/>
          <w:sz w:val="24"/>
          <w:szCs w:val="24"/>
        </w:rPr>
        <w:t xml:space="preserve"> ;</w:t>
      </w:r>
    </w:p>
    <w:p w:rsidR="0093599C" w:rsidRDefault="00EB07F1">
      <w:pPr>
        <w:autoSpaceDE/>
        <w:spacing w:line="360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</w:t>
      </w:r>
      <w:r>
        <w:rPr>
          <w:i/>
          <w:iCs/>
          <w:color w:val="000000"/>
          <w:sz w:val="24"/>
          <w:szCs w:val="24"/>
          <w:lang w:val="en-US"/>
        </w:rPr>
        <w:t>f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—осцилляторная сила;</w:t>
      </w:r>
    </w:p>
    <w:p w:rsidR="0093599C" w:rsidRDefault="00EB07F1">
      <w:pPr>
        <w:autoSpaceDE/>
        <w:spacing w:line="360" w:lineRule="auto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А </w:t>
      </w:r>
      <w:r>
        <w:rPr>
          <w:color w:val="000000"/>
          <w:sz w:val="24"/>
          <w:szCs w:val="24"/>
        </w:rPr>
        <w:t xml:space="preserve">—атомный вес; </w:t>
      </w:r>
    </w:p>
    <w:p w:rsidR="0093599C" w:rsidRDefault="00EB07F1">
      <w:pPr>
        <w:autoSpaceDE/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— площадь сечения кюветы;</w:t>
      </w:r>
    </w:p>
    <w:p w:rsidR="0093599C" w:rsidRDefault="00EB07F1">
      <w:pPr>
        <w:autoSpaceDE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М </w:t>
      </w:r>
      <w:r>
        <w:rPr>
          <w:color w:val="000000"/>
          <w:sz w:val="24"/>
          <w:szCs w:val="24"/>
        </w:rPr>
        <w:t>— количество элемента.</w:t>
      </w:r>
    </w:p>
    <w:p w:rsidR="0093599C" w:rsidRDefault="00EB07F1">
      <w:pPr>
        <w:autoSpaceDE/>
        <w:spacing w:before="28" w:line="360" w:lineRule="auto"/>
        <w:ind w:firstLine="318"/>
        <w:rPr>
          <w:sz w:val="24"/>
          <w:szCs w:val="24"/>
        </w:rPr>
      </w:pPr>
      <w:r>
        <w:rPr>
          <w:color w:val="000000"/>
          <w:sz w:val="24"/>
          <w:szCs w:val="24"/>
        </w:rPr>
        <w:t>Применение этого соотношения в аналитической практи</w:t>
      </w:r>
      <w:r>
        <w:rPr>
          <w:color w:val="000000"/>
          <w:sz w:val="24"/>
          <w:szCs w:val="24"/>
        </w:rPr>
        <w:softHyphen/>
        <w:t>ке затруднительно ввиду необходимости знать точные значе</w:t>
      </w:r>
      <w:r>
        <w:rPr>
          <w:color w:val="000000"/>
          <w:sz w:val="24"/>
          <w:szCs w:val="24"/>
        </w:rPr>
        <w:softHyphen/>
        <w:t>ния входящих в нею атомных постоянных, но оно ценно в том отношении, что показывает возможность при использова</w:t>
      </w:r>
      <w:r>
        <w:rPr>
          <w:color w:val="000000"/>
          <w:sz w:val="24"/>
          <w:szCs w:val="24"/>
        </w:rPr>
        <w:softHyphen/>
        <w:t>нии испарения в графитовой кювете при повышенном давле</w:t>
      </w:r>
      <w:r>
        <w:rPr>
          <w:color w:val="000000"/>
          <w:sz w:val="24"/>
          <w:szCs w:val="24"/>
        </w:rPr>
        <w:softHyphen/>
        <w:t>нии полного устранения влияния состава пробы на результа</w:t>
      </w:r>
      <w:r>
        <w:rPr>
          <w:color w:val="000000"/>
          <w:sz w:val="24"/>
          <w:szCs w:val="24"/>
        </w:rPr>
        <w:softHyphen/>
        <w:t>ты анализа, а также возможность применить в этом случае градуировочные графики, построенные по одной, любой по составу, стандартной пробе.</w:t>
      </w: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color w:val="000000"/>
          <w:sz w:val="24"/>
          <w:szCs w:val="24"/>
        </w:rPr>
      </w:pPr>
    </w:p>
    <w:p w:rsidR="0093599C" w:rsidRDefault="0093599C">
      <w:pPr>
        <w:autoSpaceDE/>
        <w:spacing w:before="28" w:line="215" w:lineRule="atLeast"/>
        <w:ind w:firstLine="318"/>
        <w:rPr>
          <w:sz w:val="24"/>
          <w:szCs w:val="24"/>
        </w:rPr>
      </w:pPr>
    </w:p>
    <w:p w:rsidR="0093599C" w:rsidRDefault="0093599C">
      <w:pPr>
        <w:spacing w:line="216" w:lineRule="exact"/>
        <w:ind w:right="22" w:firstLine="426"/>
        <w:rPr>
          <w:color w:val="000000"/>
          <w:sz w:val="24"/>
          <w:szCs w:val="24"/>
        </w:rPr>
      </w:pPr>
    </w:p>
    <w:p w:rsidR="0093599C" w:rsidRDefault="0093599C">
      <w:pPr>
        <w:spacing w:line="216" w:lineRule="exact"/>
        <w:ind w:right="22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line="216" w:lineRule="exact"/>
        <w:ind w:right="22" w:firstLine="426"/>
        <w:jc w:val="center"/>
        <w:rPr>
          <w:color w:val="000000"/>
          <w:sz w:val="32"/>
          <w:szCs w:val="32"/>
        </w:rPr>
      </w:pPr>
    </w:p>
    <w:p w:rsidR="0093599C" w:rsidRDefault="00EB07F1">
      <w:pPr>
        <w:spacing w:line="360" w:lineRule="auto"/>
        <w:ind w:right="22" w:firstLine="42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.Аппаратура.</w:t>
      </w:r>
    </w:p>
    <w:p w:rsidR="0093599C" w:rsidRDefault="0093599C">
      <w:pPr>
        <w:spacing w:line="360" w:lineRule="auto"/>
        <w:ind w:right="22" w:firstLine="426"/>
        <w:jc w:val="center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2" w:firstLine="426"/>
        <w:rPr>
          <w:sz w:val="24"/>
          <w:szCs w:val="24"/>
        </w:rPr>
      </w:pPr>
    </w:p>
    <w:p w:rsidR="0093599C" w:rsidRDefault="00EB07F1">
      <w:pPr>
        <w:spacing w:before="18"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анализа по атомным спектрам поглощения созданы спе</w:t>
      </w:r>
      <w:r>
        <w:rPr>
          <w:color w:val="000000"/>
          <w:sz w:val="24"/>
          <w:szCs w:val="24"/>
        </w:rPr>
        <w:softHyphen/>
        <w:t>циализированные приборы — атомно-абсорбционные спектрофо</w:t>
      </w:r>
      <w:r>
        <w:rPr>
          <w:color w:val="000000"/>
          <w:sz w:val="24"/>
          <w:szCs w:val="24"/>
        </w:rPr>
        <w:softHyphen/>
        <w:t>тометры разных типов. Лучшие из них измеряют усредненную интенсивность аналитической линии, при помощи схем, которые позволяют практически исключить помехи от эмиссионного спектра пламени и заметно снизить ошибки, связанные с нестабильностями источника света и других узлов прибора.</w:t>
      </w:r>
    </w:p>
    <w:p w:rsidR="0093599C" w:rsidRDefault="0093599C">
      <w:pPr>
        <w:spacing w:before="18" w:line="212" w:lineRule="exact"/>
        <w:ind w:firstLine="426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before="18" w:line="212" w:lineRule="exact"/>
        <w:ind w:firstLine="426"/>
        <w:jc w:val="both"/>
        <w:rPr>
          <w:color w:val="000000"/>
          <w:sz w:val="24"/>
          <w:szCs w:val="24"/>
        </w:rPr>
      </w:pPr>
    </w:p>
    <w:p w:rsidR="0093599C" w:rsidRDefault="00EB07F1">
      <w:pPr>
        <w:spacing w:before="18" w:line="212" w:lineRule="exact"/>
        <w:ind w:firstLine="42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Рис. I. Схемы двулучевого и однолучевого спектрофотометров:</w:t>
      </w:r>
    </w:p>
    <w:p w:rsidR="0093599C" w:rsidRDefault="00EB07F1">
      <w:pPr>
        <w:spacing w:before="18" w:line="212" w:lineRule="exact"/>
        <w:ind w:firstLine="42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I-первый луч; II-второй луч;1-источник света;2-диск-прерыватель;3-окно в диске;</w:t>
      </w:r>
    </w:p>
    <w:p w:rsidR="0093599C" w:rsidRDefault="00EB07F1">
      <w:pPr>
        <w:spacing w:before="18" w:line="212" w:lineRule="exact"/>
        <w:ind w:firstLine="42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4-пламя;5-монохроматор;6-фотоэлектрический приёмник света;</w:t>
      </w:r>
    </w:p>
    <w:p w:rsidR="0093599C" w:rsidRDefault="00EB07F1">
      <w:pPr>
        <w:spacing w:before="18" w:line="212" w:lineRule="exact"/>
        <w:ind w:firstLine="42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7-электронная схемарегистрации;8-поворотные зеркала;9-полупозрачное зеркало.</w:t>
      </w:r>
    </w:p>
    <w:p w:rsidR="0093599C" w:rsidRDefault="0093599C">
      <w:pPr>
        <w:spacing w:before="18" w:line="360" w:lineRule="auto"/>
        <w:ind w:firstLine="426"/>
        <w:rPr>
          <w:sz w:val="24"/>
          <w:szCs w:val="24"/>
        </w:rPr>
      </w:pPr>
    </w:p>
    <w:p w:rsidR="0093599C" w:rsidRDefault="00EB07F1">
      <w:pPr>
        <w:spacing w:before="4" w:line="360" w:lineRule="auto"/>
        <w:ind w:right="50" w:firstLine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 двулучевом (рис. I, а) приборе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один луч от источника света проходит через пламя, а другой — обходит его; при помо</w:t>
      </w:r>
      <w:r>
        <w:rPr>
          <w:color w:val="000000"/>
          <w:sz w:val="24"/>
          <w:szCs w:val="24"/>
        </w:rPr>
        <w:softHyphen/>
        <w:t xml:space="preserve">щи прерывателя — вращающегося диска </w:t>
      </w:r>
      <w:r>
        <w:rPr>
          <w:i/>
          <w:iCs/>
          <w:color w:val="000000"/>
          <w:sz w:val="24"/>
          <w:szCs w:val="24"/>
        </w:rPr>
        <w:t xml:space="preserve">2 с </w:t>
      </w:r>
      <w:r>
        <w:rPr>
          <w:color w:val="000000"/>
          <w:sz w:val="24"/>
          <w:szCs w:val="24"/>
        </w:rPr>
        <w:t xml:space="preserve">отверстием </w:t>
      </w:r>
      <w:r>
        <w:rPr>
          <w:i/>
          <w:iCs/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>потоки I  и II поочередно направляются в спектральный прибор, пропу</w:t>
      </w:r>
      <w:r>
        <w:rPr>
          <w:color w:val="000000"/>
          <w:sz w:val="24"/>
          <w:szCs w:val="24"/>
        </w:rPr>
        <w:softHyphen/>
        <w:t>скающий только аналитическую линию; фотоумножитель по</w:t>
      </w:r>
      <w:r>
        <w:rPr>
          <w:color w:val="000000"/>
          <w:sz w:val="24"/>
          <w:szCs w:val="24"/>
        </w:rPr>
        <w:softHyphen/>
        <w:t>переменно регистрирует линию потока I и потока II. Более сложные приборы имеют два таких канала и позволяют по двулучевой схеме измерить одновременно интенсивности двух ли</w:t>
      </w:r>
      <w:r>
        <w:rPr>
          <w:color w:val="000000"/>
          <w:sz w:val="24"/>
          <w:szCs w:val="24"/>
        </w:rPr>
        <w:softHyphen/>
        <w:t>ний. Вторая линия при соответствующем ее выборе может использоваться как внутренний стандарт интенсивности.</w:t>
      </w:r>
    </w:p>
    <w:p w:rsidR="0093599C" w:rsidRDefault="00EB07F1">
      <w:pPr>
        <w:spacing w:before="7" w:line="360" w:lineRule="auto"/>
        <w:ind w:right="61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Прибор измеряет отношение I</w:t>
      </w:r>
      <w:r>
        <w:rPr>
          <w:color w:val="000000"/>
          <w:position w:val="-6"/>
          <w:sz w:val="24"/>
          <w:szCs w:val="24"/>
        </w:rPr>
        <w:t>1</w:t>
      </w:r>
      <w:r>
        <w:rPr>
          <w:color w:val="000000"/>
          <w:sz w:val="24"/>
          <w:szCs w:val="24"/>
        </w:rPr>
        <w:t>/I</w:t>
      </w:r>
      <w:r>
        <w:rPr>
          <w:color w:val="000000"/>
          <w:position w:val="-6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=Iо или </w:t>
      </w:r>
      <w:r>
        <w:rPr>
          <w:color w:val="000000"/>
          <w:sz w:val="24"/>
          <w:szCs w:val="24"/>
          <w:lang w:val="en-US"/>
        </w:rPr>
        <w:t>lg</w:t>
      </w:r>
      <w:r>
        <w:rPr>
          <w:color w:val="000000"/>
          <w:sz w:val="24"/>
          <w:szCs w:val="24"/>
        </w:rPr>
        <w:t>(I</w:t>
      </w:r>
      <w:r>
        <w:rPr>
          <w:color w:val="000000"/>
          <w:position w:val="-6"/>
          <w:sz w:val="24"/>
          <w:szCs w:val="24"/>
        </w:rPr>
        <w:t>1</w:t>
      </w:r>
      <w:r>
        <w:rPr>
          <w:color w:val="000000"/>
          <w:sz w:val="24"/>
          <w:szCs w:val="24"/>
        </w:rPr>
        <w:t>/I</w:t>
      </w:r>
      <w:r>
        <w:rPr>
          <w:color w:val="000000"/>
          <w:position w:val="-6"/>
          <w:sz w:val="24"/>
          <w:szCs w:val="24"/>
        </w:rPr>
        <w:t>2</w:t>
      </w:r>
      <w:r>
        <w:rPr>
          <w:color w:val="000000"/>
          <w:sz w:val="24"/>
          <w:szCs w:val="24"/>
        </w:rPr>
        <w:t>)=</w:t>
      </w:r>
      <w:r>
        <w:rPr>
          <w:color w:val="000000"/>
          <w:sz w:val="24"/>
          <w:szCs w:val="24"/>
          <w:lang w:val="en-US"/>
        </w:rPr>
        <w:t>lg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>. Эти величины не зависят от колебаний интенсивности источника света, а также от характеристик измерительных схем. Когда в пламя введен раствор, то первый световой поток уменьшается до величины I</w:t>
      </w:r>
      <w:r>
        <w:rPr>
          <w:color w:val="000000"/>
          <w:position w:val="-6"/>
          <w:sz w:val="24"/>
          <w:szCs w:val="24"/>
        </w:rPr>
        <w:t>1</w:t>
      </w:r>
      <w:r>
        <w:rPr>
          <w:color w:val="000000"/>
          <w:sz w:val="24"/>
          <w:szCs w:val="24"/>
        </w:rPr>
        <w:t>e</w:t>
      </w:r>
      <w:r>
        <w:rPr>
          <w:color w:val="000000"/>
          <w:position w:val="6"/>
          <w:sz w:val="24"/>
          <w:szCs w:val="24"/>
        </w:rPr>
        <w:t>-</w:t>
      </w:r>
      <w:r>
        <w:rPr>
          <w:color w:val="000000"/>
          <w:position w:val="6"/>
          <w:sz w:val="24"/>
          <w:szCs w:val="24"/>
          <w:lang w:val="en-US"/>
        </w:rPr>
        <w:t>a</w:t>
      </w:r>
      <w:r>
        <w:rPr>
          <w:color w:val="000000"/>
          <w:position w:val="6"/>
          <w:sz w:val="24"/>
          <w:szCs w:val="24"/>
        </w:rPr>
        <w:t>С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прибор измеряет отношение (I</w:t>
      </w:r>
      <w:r>
        <w:rPr>
          <w:color w:val="000000"/>
          <w:position w:val="-6"/>
          <w:sz w:val="24"/>
          <w:szCs w:val="24"/>
        </w:rPr>
        <w:t>1</w:t>
      </w:r>
      <w:r>
        <w:rPr>
          <w:color w:val="000000"/>
          <w:sz w:val="24"/>
          <w:szCs w:val="24"/>
        </w:rPr>
        <w:t>e</w:t>
      </w:r>
      <w:r>
        <w:rPr>
          <w:color w:val="000000"/>
          <w:position w:val="6"/>
          <w:sz w:val="24"/>
          <w:szCs w:val="24"/>
        </w:rPr>
        <w:t>-аС</w:t>
      </w:r>
      <w:r>
        <w:rPr>
          <w:color w:val="000000"/>
          <w:sz w:val="24"/>
          <w:szCs w:val="24"/>
        </w:rPr>
        <w:t>/I</w:t>
      </w:r>
      <w:r>
        <w:rPr>
          <w:color w:val="000000"/>
          <w:position w:val="-6"/>
          <w:sz w:val="24"/>
          <w:szCs w:val="24"/>
        </w:rPr>
        <w:t>2</w:t>
      </w:r>
      <w:r>
        <w:rPr>
          <w:color w:val="000000"/>
          <w:sz w:val="24"/>
          <w:szCs w:val="24"/>
        </w:rPr>
        <w:t>)=I=I</w:t>
      </w:r>
      <w:r>
        <w:rPr>
          <w:color w:val="000000"/>
          <w:position w:val="-6"/>
          <w:sz w:val="24"/>
          <w:szCs w:val="24"/>
        </w:rPr>
        <w:t>0</w:t>
      </w:r>
      <w:r>
        <w:rPr>
          <w:color w:val="000000"/>
          <w:sz w:val="24"/>
          <w:szCs w:val="24"/>
        </w:rPr>
        <w:t>e</w:t>
      </w:r>
      <w:r>
        <w:rPr>
          <w:color w:val="000000"/>
          <w:position w:val="6"/>
          <w:sz w:val="24"/>
          <w:szCs w:val="24"/>
        </w:rPr>
        <w:t>-</w:t>
      </w:r>
      <w:r>
        <w:rPr>
          <w:color w:val="000000"/>
          <w:position w:val="6"/>
          <w:sz w:val="24"/>
          <w:szCs w:val="24"/>
          <w:lang w:val="en-US"/>
        </w:rPr>
        <w:t>a</w:t>
      </w:r>
      <w:r>
        <w:rPr>
          <w:color w:val="000000"/>
          <w:position w:val="6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, тогда оптическая плотность равна </w:t>
      </w:r>
      <w:r>
        <w:rPr>
          <w:i/>
          <w:iCs/>
          <w:color w:val="000000"/>
          <w:sz w:val="24"/>
          <w:szCs w:val="24"/>
          <w:lang w:val="en-US"/>
        </w:rPr>
        <w:t>D</w:t>
      </w:r>
      <w:r>
        <w:rPr>
          <w:i/>
          <w:iCs/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lg</w:t>
      </w:r>
      <w:r>
        <w:rPr>
          <w:color w:val="000000"/>
          <w:sz w:val="24"/>
          <w:szCs w:val="24"/>
        </w:rPr>
        <w:t>(I</w:t>
      </w:r>
      <w:r>
        <w:rPr>
          <w:color w:val="000000"/>
          <w:position w:val="-6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/I)=0,43 </w:t>
      </w:r>
      <w:r>
        <w:rPr>
          <w:i/>
          <w:iCs/>
          <w:color w:val="000000"/>
          <w:sz w:val="24"/>
          <w:szCs w:val="24"/>
          <w:lang w:val="en-US"/>
        </w:rPr>
        <w:t>aC</w:t>
      </w:r>
      <w:r>
        <w:rPr>
          <w:color w:val="000000"/>
          <w:sz w:val="24"/>
          <w:szCs w:val="24"/>
        </w:rPr>
        <w:t>и зависит, только от концентрации элемента в пробе (С).</w:t>
      </w:r>
    </w:p>
    <w:p w:rsidR="0093599C" w:rsidRDefault="00EB07F1">
      <w:pPr>
        <w:spacing w:before="7" w:line="360" w:lineRule="auto"/>
        <w:ind w:right="61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Однолучевой прибор (рис. I, </w:t>
      </w:r>
      <w:r>
        <w:rPr>
          <w:i/>
          <w:iCs/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измеряет «абсолютное» значение усредненной интенсивности; точность измерения опти</w:t>
      </w:r>
      <w:r>
        <w:rPr>
          <w:color w:val="000000"/>
          <w:sz w:val="24"/>
          <w:szCs w:val="24"/>
        </w:rPr>
        <w:softHyphen/>
        <w:t>ческой плотности у такого прибора теоретически меньше, чем у двулучевого. Фотоэлектрические сигналы от линии усредняются измерительными схемами за 10—30 с.</w:t>
      </w:r>
    </w:p>
    <w:p w:rsidR="0093599C" w:rsidRDefault="00EB07F1">
      <w:pPr>
        <w:spacing w:line="360" w:lineRule="auto"/>
        <w:ind w:right="122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того чтобы собственное излучение пламени не мешало измерению абсорбции, излучение источника модулируют, преры</w:t>
      </w:r>
      <w:r>
        <w:rPr>
          <w:color w:val="000000"/>
          <w:sz w:val="24"/>
          <w:szCs w:val="24"/>
        </w:rPr>
        <w:softHyphen/>
        <w:t>вая его с определенной частотой механическим способом (как в двулучевой схеме) или питая лампу переменным током необ</w:t>
      </w:r>
      <w:r>
        <w:rPr>
          <w:color w:val="000000"/>
          <w:sz w:val="24"/>
          <w:szCs w:val="24"/>
        </w:rPr>
        <w:softHyphen/>
        <w:t>ходимой частоты.</w:t>
      </w:r>
    </w:p>
    <w:p w:rsidR="0093599C" w:rsidRDefault="00EB07F1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Излучение пламени, как и других источников света, непостоянно, и его интенсивность колеблется с частотами от звуковых до частот порядка килогерца в зависимости от применяемых го</w:t>
      </w:r>
      <w:r>
        <w:rPr>
          <w:color w:val="000000"/>
          <w:sz w:val="24"/>
          <w:szCs w:val="24"/>
        </w:rPr>
        <w:softHyphen/>
        <w:t>релок и горючих смесей. Схемы регистрации настраивают таким образом, чтобы они измеряли только частоты, отличающиеся от частот пламени, а излучение источника света модулируют с частотой, которую регистрирует схема.</w:t>
      </w:r>
    </w:p>
    <w:p w:rsidR="0093599C" w:rsidRDefault="00EB07F1">
      <w:pPr>
        <w:spacing w:line="360" w:lineRule="auto"/>
        <w:ind w:right="47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работы с холодными пламенами модуляция необязательна, так как интенсивность получения этих пламен не мешает анализу.</w:t>
      </w:r>
    </w:p>
    <w:p w:rsidR="0093599C" w:rsidRDefault="00EB07F1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 Калибровка прибора.</w:t>
      </w:r>
      <w:r>
        <w:rPr>
          <w:color w:val="000000"/>
          <w:sz w:val="24"/>
          <w:szCs w:val="24"/>
        </w:rPr>
        <w:t>В   наиболее автоматизированных при</w:t>
      </w:r>
      <w:r>
        <w:rPr>
          <w:color w:val="000000"/>
          <w:sz w:val="24"/>
          <w:szCs w:val="24"/>
        </w:rPr>
        <w:softHyphen/>
        <w:t xml:space="preserve">борах  измерительные схемы вычисляют поглощение и выдают результат  анализа   на   печатающем  устройстве  или  цифровом вольтметре. Калибровка периодически проверяется по эталонам и при необходимости  корректируется. Более простые приборы, измеряют прозрачность, поглощение раствора в процентах либо, оптическую плотность </w:t>
      </w:r>
      <w:r>
        <w:rPr>
          <w:i/>
          <w:iCs/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раствора. Приборы с еще более простой 1 измерительной схемой дают интенсивность аналитической линии (в условных единицах), по которой затем вычисляют оптическую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плотность пламени или поглощение в процентах на длине волны</w:t>
      </w:r>
      <w:r>
        <w:rPr>
          <w:i/>
          <w:i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аналитической линии.</w:t>
      </w:r>
    </w:p>
    <w:p w:rsidR="0093599C" w:rsidRDefault="00EB07F1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Калибровочные графики.</w:t>
      </w:r>
      <w:r>
        <w:rPr>
          <w:color w:val="000000"/>
          <w:sz w:val="24"/>
          <w:szCs w:val="24"/>
        </w:rPr>
        <w:t xml:space="preserve">При помощи эталонных растворов строят  графики  в  координатах 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—</w:t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или  поглощение — С в зависимости от того, какой из них ближе к линейному на интервале определяемых  концентраций.  При  больших  содержаниях' концентрационная чувствительность падает, потому что вместе с полезным излучением регистрируется свет, рассеянный в спектральном приборе; при больших оптических плотностях он дает заметное   преувеличение   измеряемой   интенсивности   на   длине! волны аналитической линии. Другой причиной снижения концентрационной чувствительности может быть уширение линий по</w:t>
      </w:r>
      <w:r>
        <w:rPr>
          <w:color w:val="000000"/>
          <w:sz w:val="24"/>
          <w:szCs w:val="24"/>
        </w:rPr>
        <w:softHyphen/>
        <w:t>глощения по мере увеличения концентрации определяемого элемента. Спад чувствительности при малых концентрация объяс</w:t>
      </w:r>
      <w:r>
        <w:rPr>
          <w:color w:val="000000"/>
          <w:sz w:val="24"/>
          <w:szCs w:val="24"/>
        </w:rPr>
        <w:softHyphen/>
        <w:t>няется потерей света при рассеянии на несгоревших частичках аэрозоля, которая сравнима в этом случае с истинным поглощением; кроме того, имеет место ионизация-определяемых элементов, которая снижает концентрацию поглощающих атомов, уве</w:t>
      </w:r>
      <w:r>
        <w:rPr>
          <w:color w:val="000000"/>
          <w:sz w:val="24"/>
          <w:szCs w:val="24"/>
        </w:rPr>
        <w:softHyphen/>
        <w:t>личиваясь по мере уменьшения концентрации определяемого эле</w:t>
      </w:r>
      <w:r>
        <w:rPr>
          <w:color w:val="000000"/>
          <w:sz w:val="24"/>
          <w:szCs w:val="24"/>
        </w:rPr>
        <w:softHyphen/>
        <w:t>мента в пламени.</w:t>
      </w:r>
    </w:p>
    <w:p w:rsidR="0093599C" w:rsidRDefault="00EB07F1">
      <w:pPr>
        <w:spacing w:before="54" w:line="360" w:lineRule="auto"/>
        <w:ind w:right="22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  <w:u w:val="single"/>
        </w:rPr>
        <w:t>Спектральный  прибор.</w:t>
      </w:r>
      <w:r>
        <w:rPr>
          <w:color w:val="000000"/>
          <w:sz w:val="24"/>
          <w:szCs w:val="24"/>
        </w:rPr>
        <w:t xml:space="preserve">  Анализатор    широкого    назначения имеет монохроматор высокого   качества (в котором практически нет рассеянного света) с областью спектра 190—700 нм и с дис</w:t>
      </w:r>
      <w:r>
        <w:rPr>
          <w:color w:val="000000"/>
          <w:sz w:val="24"/>
          <w:szCs w:val="24"/>
        </w:rPr>
        <w:softHyphen/>
        <w:t xml:space="preserve">персией от 0,6 до нескольких единиц </w:t>
      </w:r>
      <w:r>
        <w:rPr>
          <w:i/>
          <w:iCs/>
          <w:color w:val="000000"/>
          <w:sz w:val="24"/>
          <w:szCs w:val="24"/>
        </w:rPr>
        <w:t xml:space="preserve">п </w:t>
      </w:r>
      <w:r>
        <w:rPr>
          <w:color w:val="000000"/>
          <w:sz w:val="24"/>
          <w:szCs w:val="24"/>
        </w:rPr>
        <w:t>нм/мм. Для определения сразу двух элементов устанавливают два спектральных прибора. Обычно   монохроматор   построен   по   схеме   Черни — Тернера. В приборах некоторых фирм второй монохроматор заменен на</w:t>
      </w:r>
      <w:r>
        <w:rPr>
          <w:color w:val="000000"/>
          <w:sz w:val="24"/>
          <w:szCs w:val="24"/>
        </w:rPr>
        <w:softHyphen/>
        <w:t>бором   взаимозаменяемых   интерференционных   светофильтров. Источник света. Большей частью пользуются лампами с по</w:t>
      </w:r>
      <w:r>
        <w:rPr>
          <w:color w:val="000000"/>
          <w:sz w:val="24"/>
          <w:szCs w:val="24"/>
        </w:rPr>
        <w:softHyphen/>
        <w:t>лыми катодами простыми или же многокомпонентными из двой</w:t>
      </w:r>
      <w:r>
        <w:rPr>
          <w:color w:val="000000"/>
          <w:sz w:val="24"/>
          <w:szCs w:val="24"/>
        </w:rPr>
        <w:softHyphen/>
        <w:t>ного или тройного сплава для определения нескольких элементов (например, из латуни для определения  меди и цинка, из ковара для определения железа, никеля и кобальта). При работе с одноканальным прибором производится последовательное опре</w:t>
      </w:r>
      <w:r>
        <w:rPr>
          <w:color w:val="000000"/>
          <w:sz w:val="24"/>
          <w:szCs w:val="24"/>
        </w:rPr>
        <w:softHyphen/>
        <w:t xml:space="preserve">деление элементов. Если имеются многокомпонентные лампы, то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для определения достаточно лишь выводить поочередно на вы</w:t>
      </w:r>
      <w:r>
        <w:rPr>
          <w:color w:val="000000"/>
          <w:sz w:val="24"/>
          <w:szCs w:val="24"/>
        </w:rPr>
        <w:softHyphen/>
        <w:t>ходную щель линии всех элементов; если же катоды однокомпонентны,  то  для  последовательного  определения   нескольких элементов следует заменять лампы. Лампы питаются от источ</w:t>
      </w:r>
      <w:r>
        <w:rPr>
          <w:color w:val="000000"/>
          <w:sz w:val="24"/>
          <w:szCs w:val="24"/>
        </w:rPr>
        <w:softHyphen/>
        <w:t>ника постоянного или переменного тока в зависимости от спо</w:t>
      </w:r>
      <w:r>
        <w:rPr>
          <w:color w:val="000000"/>
          <w:sz w:val="24"/>
          <w:szCs w:val="24"/>
        </w:rPr>
        <w:softHyphen/>
        <w:t>соба модуляции.</w:t>
      </w:r>
    </w:p>
    <w:p w:rsidR="0093599C" w:rsidRDefault="00EB07F1">
      <w:pPr>
        <w:spacing w:before="40" w:line="360" w:lineRule="auto"/>
        <w:ind w:firstLine="426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Атомизаторы.</w:t>
      </w:r>
      <w:r>
        <w:rPr>
          <w:color w:val="000000"/>
          <w:sz w:val="24"/>
          <w:szCs w:val="24"/>
        </w:rPr>
        <w:t xml:space="preserve"> Пламенные атомизаторы  имеют сменные  го</w:t>
      </w:r>
      <w:r>
        <w:rPr>
          <w:color w:val="000000"/>
          <w:sz w:val="24"/>
          <w:szCs w:val="24"/>
        </w:rPr>
        <w:softHyphen/>
        <w:t xml:space="preserve">релки для работы с разными горючими смесями в зависимости от определяемого элемента.  Конструкция атомизаторов позволяет перемещать пламя относительно просвечивающего пучка света для выбора в каждом конкретном случае зоны, где происходит наибольшее поглощение аналитической линии и снижаются ошибки анализа от взаимных влияний и от нестабильности пламени. Редкоземельные элементы, алюминий, вольфрам, молибден,  кремний и другие элементы, образующие прочные окислы, атомизируют в пламени ацетилен — закись азота; для определения элементов Си, </w:t>
      </w:r>
      <w:r>
        <w:rPr>
          <w:color w:val="000000"/>
          <w:sz w:val="24"/>
          <w:szCs w:val="24"/>
          <w:lang w:val="en-US"/>
        </w:rPr>
        <w:t>Zn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Pb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Fe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Mn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Mg</w:t>
      </w:r>
      <w:r>
        <w:rPr>
          <w:color w:val="000000"/>
          <w:sz w:val="24"/>
          <w:szCs w:val="24"/>
        </w:rPr>
        <w:t xml:space="preserve"> и других подобных применяется ацетилен — воздушное пламя или же пропан — воздушное  пламя. При этом расход газовой смеси и относительную концен</w:t>
      </w:r>
      <w:r>
        <w:rPr>
          <w:color w:val="000000"/>
          <w:sz w:val="24"/>
          <w:szCs w:val="24"/>
        </w:rPr>
        <w:softHyphen/>
        <w:t>трацию компонентов подбирают опытным путем в зависимости Јот свойств определяемого элемента и от общего состава пробы.</w:t>
      </w:r>
    </w:p>
    <w:p w:rsidR="0093599C" w:rsidRDefault="00EB07F1">
      <w:pPr>
        <w:spacing w:before="40" w:line="360" w:lineRule="auto"/>
        <w:ind w:firstLine="426"/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 xml:space="preserve"> Беспламенный метод атомизации с использованием  графи</w:t>
      </w:r>
      <w:r>
        <w:rPr>
          <w:b/>
          <w:bCs/>
          <w:i/>
          <w:iCs/>
          <w:color w:val="000000"/>
          <w:sz w:val="24"/>
          <w:szCs w:val="24"/>
          <w:u w:val="single"/>
        </w:rPr>
        <w:softHyphen/>
        <w:t>товой кюветы.</w:t>
      </w:r>
      <w:r>
        <w:rPr>
          <w:color w:val="000000"/>
          <w:sz w:val="24"/>
          <w:szCs w:val="24"/>
        </w:rPr>
        <w:t>Кювета представляет собой электрически нагре</w:t>
      </w:r>
      <w:r>
        <w:rPr>
          <w:color w:val="000000"/>
          <w:sz w:val="24"/>
          <w:szCs w:val="24"/>
        </w:rPr>
        <w:softHyphen/>
        <w:t xml:space="preserve">ваемую графитовую трубку. Анализируемое вещество наносят на (торец электрода, который вставляют в полость кюветы через поперечное отверстие в середине трубки. </w:t>
      </w:r>
    </w:p>
    <w:p w:rsidR="0093599C" w:rsidRDefault="00EB07F1">
      <w:pPr>
        <w:spacing w:before="40"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Диаметр полости 0,5 см, а ее длина 5 см. Между электродом с пробой и другим электродом, установленным   под   кюветой,   зажигают   мощную   дугу  постоянного тока. При этом происходит быстрое испарение пробы, продолжающееся всего лишь несколько секунд. Проба в виде атомизированного вещества сконцентрирована в полости кюветы, которую просвечивают источником резонансного из</w:t>
      </w:r>
      <w:r>
        <w:rPr>
          <w:color w:val="000000"/>
          <w:sz w:val="24"/>
          <w:szCs w:val="24"/>
        </w:rPr>
        <w:softHyphen/>
        <w:t>лучения.</w:t>
      </w:r>
    </w:p>
    <w:p w:rsidR="0093599C" w:rsidRDefault="00EB07F1">
      <w:pPr>
        <w:spacing w:line="360" w:lineRule="auto"/>
        <w:ind w:right="205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b/>
          <w:bCs/>
          <w:i/>
          <w:iCs/>
          <w:color w:val="000000"/>
          <w:sz w:val="24"/>
          <w:szCs w:val="24"/>
          <w:u w:val="single"/>
        </w:rPr>
        <w:t>Подготовка проб к анализу.</w:t>
      </w:r>
      <w:r>
        <w:rPr>
          <w:color w:val="000000"/>
          <w:sz w:val="24"/>
          <w:szCs w:val="24"/>
        </w:rPr>
        <w:t xml:space="preserve"> Способы подготовки пробы и эталонов к анализу в атомно-абсорбционном методе аналогичны используемым в атомно-эмиссионном пламенном анализе. Сле</w:t>
      </w:r>
      <w:r>
        <w:rPr>
          <w:color w:val="000000"/>
          <w:sz w:val="24"/>
          <w:szCs w:val="24"/>
        </w:rPr>
        <w:softHyphen/>
        <w:t>дует добавить только, что при разбавлении проб необходимо учи</w:t>
      </w:r>
      <w:r>
        <w:rPr>
          <w:color w:val="000000"/>
          <w:sz w:val="24"/>
          <w:szCs w:val="24"/>
        </w:rPr>
        <w:softHyphen/>
        <w:t>тывать, что точность измерения оптической плотности зависит от ее значения. Ошибка минимальна при оптической плотности от 0,2 до 1—2. Поэтому желательно разбавлять растворы до кон</w:t>
      </w:r>
      <w:r>
        <w:rPr>
          <w:color w:val="000000"/>
          <w:sz w:val="24"/>
          <w:szCs w:val="24"/>
        </w:rPr>
        <w:softHyphen/>
        <w:t xml:space="preserve">центраций, при которых оптическая плотность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&gt;• 0,3 и не пре</w:t>
      </w:r>
      <w:r>
        <w:rPr>
          <w:color w:val="000000"/>
          <w:sz w:val="24"/>
          <w:szCs w:val="24"/>
        </w:rPr>
        <w:softHyphen/>
        <w:t>вышает 1—2 единицы; при этом учитывается, что пробы должно хватать на. 2—3 параллельных замера, по которым выводится результат каждого определения.</w:t>
      </w:r>
    </w:p>
    <w:p w:rsidR="0093599C" w:rsidRDefault="0093599C">
      <w:pPr>
        <w:spacing w:line="360" w:lineRule="auto"/>
        <w:ind w:right="205" w:firstLine="426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both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4"/>
          <w:szCs w:val="24"/>
        </w:rPr>
      </w:pPr>
    </w:p>
    <w:p w:rsidR="0093599C" w:rsidRDefault="00EB07F1">
      <w:pPr>
        <w:spacing w:line="360" w:lineRule="auto"/>
        <w:ind w:right="205" w:firstLine="42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Список литературы:</w:t>
      </w:r>
    </w:p>
    <w:p w:rsidR="0093599C" w:rsidRDefault="00EB07F1">
      <w:pPr>
        <w:numPr>
          <w:ilvl w:val="0"/>
          <w:numId w:val="1"/>
        </w:numPr>
        <w:spacing w:line="360" w:lineRule="auto"/>
        <w:ind w:right="205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Ляликов « Физико – химические методы анализа».</w:t>
      </w:r>
    </w:p>
    <w:p w:rsidR="0093599C" w:rsidRDefault="00EB07F1">
      <w:pPr>
        <w:numPr>
          <w:ilvl w:val="0"/>
          <w:numId w:val="1"/>
        </w:numPr>
        <w:spacing w:line="360" w:lineRule="auto"/>
        <w:ind w:right="205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Пилипенко, Пятницкий «Аналитическая химия».</w:t>
      </w:r>
    </w:p>
    <w:p w:rsidR="0093599C" w:rsidRDefault="00EB07F1">
      <w:pPr>
        <w:numPr>
          <w:ilvl w:val="0"/>
          <w:numId w:val="1"/>
        </w:numPr>
        <w:shd w:val="clear" w:color="auto" w:fill="FFFFFF"/>
        <w:spacing w:before="14"/>
        <w:ind w:right="14"/>
        <w:jc w:val="both"/>
        <w:rPr>
          <w:sz w:val="24"/>
          <w:szCs w:val="28"/>
        </w:rPr>
      </w:pPr>
      <w:r>
        <w:rPr>
          <w:sz w:val="24"/>
        </w:rPr>
        <w:t>Химия. Большой энциклопедический словарь. Гл. ред. И.П.Кнонянц. М.: Большая</w:t>
      </w:r>
      <w:r>
        <w:rPr>
          <w:sz w:val="24"/>
          <w:szCs w:val="28"/>
        </w:rPr>
        <w:t xml:space="preserve"> </w:t>
      </w:r>
      <w:r>
        <w:rPr>
          <w:sz w:val="24"/>
        </w:rPr>
        <w:t xml:space="preserve"> Российская энциклопедия, 2000г. – 792 стр.</w:t>
      </w:r>
    </w:p>
    <w:p w:rsidR="0093599C" w:rsidRDefault="0093599C">
      <w:pPr>
        <w:spacing w:line="360" w:lineRule="auto"/>
        <w:ind w:left="786" w:right="205"/>
        <w:rPr>
          <w:color w:val="000000"/>
          <w:sz w:val="24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rPr>
          <w:color w:val="000000"/>
          <w:sz w:val="24"/>
          <w:szCs w:val="24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</w:p>
    <w:p w:rsidR="0093599C" w:rsidRDefault="0093599C">
      <w:pPr>
        <w:spacing w:line="360" w:lineRule="auto"/>
        <w:ind w:right="205" w:firstLine="426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sectPr w:rsidR="0093599C">
      <w:footerReference w:type="default" r:id="rId7"/>
      <w:type w:val="continuous"/>
      <w:pgSz w:w="11906" w:h="16838"/>
      <w:pgMar w:top="1560" w:right="1416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99C" w:rsidRDefault="00EB07F1">
      <w:r>
        <w:separator/>
      </w:r>
    </w:p>
  </w:endnote>
  <w:endnote w:type="continuationSeparator" w:id="0">
    <w:p w:rsidR="0093599C" w:rsidRDefault="00EB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9C" w:rsidRDefault="00EB07F1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3599C" w:rsidRDefault="009359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99C" w:rsidRDefault="00EB07F1">
      <w:r>
        <w:separator/>
      </w:r>
    </w:p>
  </w:footnote>
  <w:footnote w:type="continuationSeparator" w:id="0">
    <w:p w:rsidR="0093599C" w:rsidRDefault="00EB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66256"/>
    <w:multiLevelType w:val="hybridMultilevel"/>
    <w:tmpl w:val="6D828F0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1EF2136"/>
    <w:multiLevelType w:val="hybridMultilevel"/>
    <w:tmpl w:val="AED0F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7F1"/>
    <w:rsid w:val="008D5AE1"/>
    <w:rsid w:val="0093599C"/>
    <w:rsid w:val="00E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78B3-2A8E-4498-AC04-9F3ABDED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sz w:val="24"/>
      <w:szCs w:val="24"/>
    </w:rPr>
  </w:style>
  <w:style w:type="paragraph" w:styleId="a4">
    <w:name w:val="List"/>
    <w:basedOn w:val="a3"/>
    <w:semiHidden/>
    <w:pPr>
      <w:spacing w:after="0"/>
    </w:pPr>
  </w:style>
  <w:style w:type="paragraph" w:styleId="a5">
    <w:name w:val="Title"/>
    <w:basedOn w:val="a"/>
    <w:qFormat/>
    <w:pPr>
      <w:spacing w:before="120" w:after="120"/>
    </w:pPr>
    <w:rPr>
      <w:i/>
      <w:iCs/>
      <w:sz w:val="24"/>
      <w:szCs w:val="24"/>
    </w:rPr>
  </w:style>
  <w:style w:type="paragraph" w:styleId="1">
    <w:name w:val="index 1"/>
    <w:basedOn w:val="a"/>
    <w:next w:val="a"/>
    <w:autoRedefine/>
    <w:semiHidden/>
    <w:pPr>
      <w:ind w:left="240" w:hanging="240"/>
    </w:pPr>
    <w:rPr>
      <w:sz w:val="24"/>
      <w:szCs w:val="24"/>
    </w:rPr>
  </w:style>
  <w:style w:type="paragraph" w:styleId="a6">
    <w:name w:val="index heading"/>
    <w:basedOn w:val="a"/>
    <w:semiHidden/>
    <w:rPr>
      <w:sz w:val="24"/>
      <w:szCs w:val="24"/>
    </w:rPr>
  </w:style>
  <w:style w:type="paragraph" w:styleId="a7">
    <w:name w:val="Normal (Web)"/>
    <w:basedOn w:val="a"/>
    <w:semiHidden/>
    <w:pPr>
      <w:autoSpaceDE/>
      <w:spacing w:before="100" w:after="119"/>
    </w:pPr>
    <w:rPr>
      <w:sz w:val="24"/>
      <w:szCs w:val="24"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jet</Company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туся</dc:creator>
  <cp:keywords/>
  <dc:description/>
  <cp:lastModifiedBy>Irina</cp:lastModifiedBy>
  <cp:revision>2</cp:revision>
  <dcterms:created xsi:type="dcterms:W3CDTF">2014-09-04T21:15:00Z</dcterms:created>
  <dcterms:modified xsi:type="dcterms:W3CDTF">2014-09-04T21:15:00Z</dcterms:modified>
</cp:coreProperties>
</file>