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508" w:rsidRPr="00CC23B4" w:rsidRDefault="00AB1508" w:rsidP="00AB1508">
      <w:pPr>
        <w:pStyle w:val="8"/>
        <w:spacing w:line="288" w:lineRule="auto"/>
        <w:ind w:firstLine="454"/>
        <w:rPr>
          <w:rFonts w:ascii="KZ Times New Roman" w:hAnsi="KZ Times New Roman"/>
          <w:sz w:val="28"/>
          <w:szCs w:val="28"/>
          <w:lang w:val="kk-KZ"/>
        </w:rPr>
      </w:pPr>
      <w:r w:rsidRPr="00CC23B4">
        <w:rPr>
          <w:rFonts w:ascii="KZ Times New Roman" w:hAnsi="KZ Times New Roman"/>
          <w:sz w:val="28"/>
          <w:szCs w:val="28"/>
          <w:lang w:val="kk-KZ"/>
        </w:rPr>
        <w:t>ДИПЛОМНЫЕ, КУРСОВЫЕ РАБОТЫ ПО ДАННОЙ ДИСЦИПЛИНЕ НЕ ПРЕДУСМОТРЕНЫ</w:t>
      </w:r>
    </w:p>
    <w:p w:rsidR="00AB1508" w:rsidRDefault="00AB1508" w:rsidP="00AB1508">
      <w:pPr>
        <w:rPr>
          <w:szCs w:val="28"/>
          <w:lang w:val="kk-KZ"/>
        </w:rPr>
      </w:pPr>
    </w:p>
    <w:p w:rsidR="00AB1508" w:rsidRPr="00CC23B4" w:rsidRDefault="00AB1508" w:rsidP="00AB1508">
      <w:pPr>
        <w:rPr>
          <w:szCs w:val="28"/>
          <w:lang w:val="kk-KZ"/>
        </w:rPr>
      </w:pPr>
      <w:r>
        <w:rPr>
          <w:szCs w:val="28"/>
          <w:lang w:val="kk-KZ"/>
        </w:rPr>
        <w:t>ТЕМАТИКА РЕФЕРАТОВ: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Особенности государственной молодёжной политики в Р</w:t>
      </w:r>
      <w:r>
        <w:rPr>
          <w:szCs w:val="28"/>
          <w:lang w:val="kk-KZ"/>
        </w:rPr>
        <w:t>К</w:t>
      </w:r>
      <w:r w:rsidRPr="00017198">
        <w:rPr>
          <w:szCs w:val="28"/>
        </w:rPr>
        <w:t>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Правовые аспекты социальной защиты молодежи.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Медико-психологическая служба оказания социальной помощи молодежи.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Оказание помощи молодёжи в социальных центрах.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Уличная социальная работа с молодёжью.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Деятельность социальных служб в образовательных учреждениях.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Деятельность социальных служб по оказанию помощи молодёжи на рынке труда.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Социальная помощь молодым семьям.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num" w:pos="709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Деятельность социальных служб в сфере молодёжного досуга.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Деятельность социальных служб в армейских подразделениях.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0"/>
          <w:tab w:val="left" w:pos="720"/>
        </w:tabs>
        <w:ind w:left="0" w:firstLine="360"/>
        <w:jc w:val="both"/>
        <w:rPr>
          <w:szCs w:val="28"/>
        </w:rPr>
      </w:pPr>
      <w:r w:rsidRPr="00017198">
        <w:rPr>
          <w:szCs w:val="28"/>
        </w:rPr>
        <w:t xml:space="preserve">Деятельность социальных служб в пенитенциарных </w:t>
      </w:r>
      <w:r>
        <w:rPr>
          <w:szCs w:val="28"/>
          <w:lang w:val="kk-KZ"/>
        </w:rPr>
        <w:t xml:space="preserve">(правоохранительные органы) </w:t>
      </w:r>
      <w:r w:rsidRPr="00017198">
        <w:rPr>
          <w:szCs w:val="28"/>
        </w:rPr>
        <w:t>учреждениях.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Работа молодёжных общественных объединений и движений.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Профилактика и коррекция девиантного поведения молодежи.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Социальная адаптация молодежи.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Оказание социальной помощи молодым мигрантам.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Оказание социальной помощи молодым инвалидам.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Молодёжь и религиозное образование.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Молодёжь и этническая самоидентификация.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 Зарубежный опыт социальной работы с молодёжью.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 xml:space="preserve">Работа с молодежью: опыт зарубежных стран. </w:t>
      </w:r>
    </w:p>
    <w:p w:rsidR="00AB1508" w:rsidRPr="00017198" w:rsidRDefault="00AB1508" w:rsidP="00AB1508">
      <w:pPr>
        <w:numPr>
          <w:ilvl w:val="0"/>
          <w:numId w:val="2"/>
        </w:numPr>
        <w:tabs>
          <w:tab w:val="clear" w:pos="360"/>
          <w:tab w:val="left" w:pos="720"/>
        </w:tabs>
        <w:ind w:left="709" w:hanging="349"/>
        <w:jc w:val="both"/>
        <w:rPr>
          <w:szCs w:val="28"/>
        </w:rPr>
      </w:pPr>
      <w:r w:rsidRPr="00017198">
        <w:rPr>
          <w:szCs w:val="28"/>
        </w:rPr>
        <w:t>Профессиограмма социального работника.</w:t>
      </w:r>
    </w:p>
    <w:p w:rsidR="00AB1508" w:rsidRPr="00CC23B4" w:rsidRDefault="00AB1508" w:rsidP="00AB1508">
      <w:pPr>
        <w:tabs>
          <w:tab w:val="left" w:pos="851"/>
        </w:tabs>
        <w:ind w:firstLine="540"/>
        <w:jc w:val="both"/>
        <w:rPr>
          <w:szCs w:val="28"/>
        </w:rPr>
      </w:pPr>
    </w:p>
    <w:p w:rsidR="00AB1508" w:rsidRPr="00CC23B4" w:rsidRDefault="00AB1508" w:rsidP="00AB1508">
      <w:pPr>
        <w:tabs>
          <w:tab w:val="left" w:pos="851"/>
        </w:tabs>
        <w:ind w:firstLine="540"/>
        <w:jc w:val="both"/>
        <w:rPr>
          <w:szCs w:val="28"/>
        </w:rPr>
      </w:pPr>
    </w:p>
    <w:p w:rsidR="00AB1508" w:rsidRPr="00CC23B4" w:rsidRDefault="00AB1508" w:rsidP="00AB1508">
      <w:pPr>
        <w:ind w:firstLine="720"/>
        <w:jc w:val="both"/>
        <w:outlineLvl w:val="0"/>
        <w:rPr>
          <w:i/>
          <w:szCs w:val="28"/>
        </w:rPr>
      </w:pPr>
      <w:r w:rsidRPr="00CC23B4">
        <w:rPr>
          <w:i/>
          <w:szCs w:val="28"/>
        </w:rPr>
        <w:t>Методические рекомендации  к подготовке и выполнению реферата:</w:t>
      </w:r>
    </w:p>
    <w:p w:rsidR="00AB1508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 xml:space="preserve">Важной формой семестрового задания является реферат. Реферат – это письменное исследование на определенную тему, включающее критический обзор литературных и других источников. </w:t>
      </w:r>
    </w:p>
    <w:p w:rsidR="00AB1508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 xml:space="preserve">Работа над рефератом начинается с выбора темы. Очень важно, чтобы он был сделан сознательно. Тематика рефератов определяется программой курса. Однако студент по согласованию с преподавателем  может выбрать тему, связанную с его интересами. Затем необходимо осуществить подбор литературы, изучить и систематизировать источники, составить подробный план. </w:t>
      </w:r>
    </w:p>
    <w:p w:rsidR="00AB1508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 xml:space="preserve">Написание реферата требует от студента большой творческой активности, самостоятельности в обобщении изученной литературы, умения логически стройно изложить материал, оценить различные точки зрения на исследуемую проблему, высказать о ней собственное мнение. </w:t>
      </w:r>
    </w:p>
    <w:p w:rsidR="00AB1508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>В заключении реферата необходимо подвести итоги проделанной работы, сделать практические выводы и приложить список литературы.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i/>
          <w:szCs w:val="28"/>
        </w:rPr>
        <w:t xml:space="preserve">Цель: </w:t>
      </w:r>
      <w:r w:rsidRPr="00CC23B4">
        <w:rPr>
          <w:szCs w:val="28"/>
        </w:rPr>
        <w:t>Формирование исследовательской работы студента, получение более глубоких знаний по исследуемой проблеме.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b/>
          <w:szCs w:val="28"/>
        </w:rPr>
        <w:t>1.</w:t>
      </w:r>
      <w:r w:rsidRPr="00CC23B4">
        <w:rPr>
          <w:szCs w:val="28"/>
        </w:rPr>
        <w:t xml:space="preserve"> Структура реферата:</w:t>
      </w:r>
    </w:p>
    <w:p w:rsidR="00AB1508" w:rsidRPr="00CC23B4" w:rsidRDefault="00AB1508" w:rsidP="00AB1508">
      <w:pPr>
        <w:ind w:left="120" w:firstLine="720"/>
        <w:jc w:val="both"/>
        <w:outlineLvl w:val="0"/>
        <w:rPr>
          <w:szCs w:val="28"/>
        </w:rPr>
      </w:pPr>
      <w:r w:rsidRPr="00CC23B4">
        <w:rPr>
          <w:szCs w:val="28"/>
        </w:rPr>
        <w:t>- титульный лист</w:t>
      </w:r>
    </w:p>
    <w:p w:rsidR="00AB1508" w:rsidRPr="00CC23B4" w:rsidRDefault="00AB1508" w:rsidP="00AB1508">
      <w:pPr>
        <w:ind w:left="120" w:firstLine="720"/>
        <w:jc w:val="both"/>
        <w:outlineLvl w:val="0"/>
        <w:rPr>
          <w:szCs w:val="28"/>
        </w:rPr>
      </w:pPr>
      <w:r w:rsidRPr="00CC23B4">
        <w:rPr>
          <w:szCs w:val="28"/>
        </w:rPr>
        <w:t>- содержание</w:t>
      </w:r>
    </w:p>
    <w:p w:rsidR="00AB1508" w:rsidRPr="00CC23B4" w:rsidRDefault="00AB1508" w:rsidP="00AB1508">
      <w:pPr>
        <w:ind w:left="120" w:firstLine="720"/>
        <w:jc w:val="both"/>
        <w:outlineLvl w:val="0"/>
        <w:rPr>
          <w:szCs w:val="28"/>
        </w:rPr>
      </w:pPr>
      <w:r w:rsidRPr="00CC23B4">
        <w:rPr>
          <w:szCs w:val="28"/>
        </w:rPr>
        <w:t>- введение</w:t>
      </w:r>
    </w:p>
    <w:p w:rsidR="00AB1508" w:rsidRPr="00CC23B4" w:rsidRDefault="00AB1508" w:rsidP="00AB1508">
      <w:pPr>
        <w:ind w:left="120" w:firstLine="720"/>
        <w:jc w:val="both"/>
        <w:outlineLvl w:val="0"/>
        <w:rPr>
          <w:szCs w:val="28"/>
        </w:rPr>
      </w:pPr>
      <w:r w:rsidRPr="00CC23B4">
        <w:rPr>
          <w:szCs w:val="28"/>
        </w:rPr>
        <w:t>- основная часть</w:t>
      </w:r>
    </w:p>
    <w:p w:rsidR="00AB1508" w:rsidRPr="00CC23B4" w:rsidRDefault="00AB1508" w:rsidP="00AB1508">
      <w:pPr>
        <w:ind w:left="120" w:firstLine="720"/>
        <w:jc w:val="both"/>
        <w:outlineLvl w:val="0"/>
        <w:rPr>
          <w:szCs w:val="28"/>
        </w:rPr>
      </w:pPr>
      <w:r w:rsidRPr="00CC23B4">
        <w:rPr>
          <w:szCs w:val="28"/>
        </w:rPr>
        <w:t>- заключение</w:t>
      </w:r>
    </w:p>
    <w:p w:rsidR="00AB1508" w:rsidRPr="00CC23B4" w:rsidRDefault="00AB1508" w:rsidP="00AB1508">
      <w:pPr>
        <w:ind w:left="120" w:firstLine="720"/>
        <w:jc w:val="both"/>
        <w:outlineLvl w:val="0"/>
        <w:rPr>
          <w:szCs w:val="28"/>
        </w:rPr>
      </w:pPr>
      <w:r w:rsidRPr="00CC23B4">
        <w:rPr>
          <w:szCs w:val="28"/>
        </w:rPr>
        <w:t>- список использованной литературы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b/>
          <w:szCs w:val="28"/>
        </w:rPr>
        <w:t>2.</w:t>
      </w:r>
      <w:r w:rsidRPr="00CC23B4">
        <w:rPr>
          <w:szCs w:val="28"/>
        </w:rPr>
        <w:t xml:space="preserve"> Требования к содержанию: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>1. Во введении формулируется актуальность темы, обзор литературы, цели и задачи исследования, практическая значимость (примерный объем введения – 1,2 стр.)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>2. В основной части необходимо в полном объеме раскрыть основные теоретические моменты темы. Материал основной части должен быть разбит на главы. (Объем – 15,20 стр.)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>3. Заключение предполагает вывод по теме исследования. (Объем – 1,2 стр.)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>4. Список литературы оформляется в алфавитном порядке.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b/>
          <w:szCs w:val="28"/>
        </w:rPr>
        <w:t xml:space="preserve">3. </w:t>
      </w:r>
      <w:r w:rsidRPr="00CC23B4">
        <w:rPr>
          <w:szCs w:val="28"/>
        </w:rPr>
        <w:t>Правила оформления:</w:t>
      </w:r>
    </w:p>
    <w:p w:rsidR="00AB1508" w:rsidRPr="00CC23B4" w:rsidRDefault="00AB1508" w:rsidP="00AB1508">
      <w:pPr>
        <w:ind w:firstLine="720"/>
        <w:jc w:val="both"/>
        <w:outlineLvl w:val="0"/>
        <w:rPr>
          <w:szCs w:val="28"/>
        </w:rPr>
      </w:pPr>
      <w:r w:rsidRPr="00CC23B4">
        <w:rPr>
          <w:szCs w:val="28"/>
        </w:rPr>
        <w:t xml:space="preserve">1. Текст реферата может быть написан от руки или набран на компьютере через 1,5 интервала, 14 кегль, на одной стороне листа формата А-4. </w:t>
      </w:r>
    </w:p>
    <w:p w:rsidR="00AB1508" w:rsidRPr="00CC23B4" w:rsidRDefault="00AB1508" w:rsidP="00AB1508">
      <w:pPr>
        <w:tabs>
          <w:tab w:val="num" w:pos="360"/>
        </w:tabs>
        <w:ind w:left="360" w:firstLine="720"/>
        <w:jc w:val="both"/>
        <w:outlineLvl w:val="0"/>
        <w:rPr>
          <w:szCs w:val="28"/>
        </w:rPr>
      </w:pPr>
      <w:r w:rsidRPr="00CC23B4">
        <w:rPr>
          <w:szCs w:val="28"/>
        </w:rPr>
        <w:t>Максимальный объем реферата – 20-25 страниц печатного текста, или  15 – 20 страниц рукописного текста.</w:t>
      </w:r>
    </w:p>
    <w:p w:rsidR="00AB1508" w:rsidRPr="00CC23B4" w:rsidRDefault="00AB1508" w:rsidP="00AB1508">
      <w:pPr>
        <w:tabs>
          <w:tab w:val="num" w:pos="360"/>
        </w:tabs>
        <w:ind w:left="360" w:hanging="360"/>
        <w:jc w:val="both"/>
        <w:outlineLvl w:val="0"/>
        <w:rPr>
          <w:szCs w:val="28"/>
        </w:rPr>
      </w:pPr>
      <w:r w:rsidRPr="00CC23B4">
        <w:rPr>
          <w:szCs w:val="28"/>
        </w:rPr>
        <w:t>Литература: 1-47.</w:t>
      </w:r>
    </w:p>
    <w:p w:rsidR="00AB1508" w:rsidRPr="00CC23B4" w:rsidRDefault="00AB1508" w:rsidP="00AB1508">
      <w:pPr>
        <w:rPr>
          <w:szCs w:val="28"/>
        </w:rPr>
      </w:pPr>
    </w:p>
    <w:p w:rsidR="00AB1508" w:rsidRPr="00CC23B4" w:rsidRDefault="00AB1508" w:rsidP="00AB1508">
      <w:pPr>
        <w:tabs>
          <w:tab w:val="left" w:pos="851"/>
        </w:tabs>
        <w:ind w:firstLine="540"/>
        <w:jc w:val="both"/>
        <w:rPr>
          <w:szCs w:val="28"/>
        </w:rPr>
      </w:pPr>
    </w:p>
    <w:p w:rsidR="00DD1299" w:rsidRDefault="00DD1299">
      <w:bookmarkStart w:id="0" w:name="_GoBack"/>
      <w:bookmarkEnd w:id="0"/>
    </w:p>
    <w:sectPr w:rsidR="00DD1299">
      <w:footerReference w:type="even" r:id="rId7"/>
      <w:footerReference w:type="default" r:id="rId8"/>
      <w:pgSz w:w="8420" w:h="11907" w:orient="landscape" w:code="9"/>
      <w:pgMar w:top="1134" w:right="1077" w:bottom="1134" w:left="1077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F29" w:rsidRDefault="00653648">
      <w:r>
        <w:separator/>
      </w:r>
    </w:p>
  </w:endnote>
  <w:endnote w:type="continuationSeparator" w:id="0">
    <w:p w:rsidR="00057F29" w:rsidRDefault="00653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08" w:rsidRDefault="00AB150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1508" w:rsidRDefault="00AB1508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508" w:rsidRDefault="00AB1508">
    <w:pPr>
      <w:pStyle w:val="a3"/>
      <w:framePr w:wrap="around" w:vAnchor="text" w:hAnchor="margin" w:xAlign="center" w:y="1"/>
      <w:rPr>
        <w:rStyle w:val="a4"/>
        <w:sz w:val="24"/>
      </w:rPr>
    </w:pPr>
    <w:r>
      <w:rPr>
        <w:rStyle w:val="a4"/>
        <w:sz w:val="24"/>
      </w:rPr>
      <w:fldChar w:fldCharType="begin"/>
    </w:r>
    <w:r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>
      <w:rPr>
        <w:rStyle w:val="a4"/>
        <w:noProof/>
        <w:sz w:val="24"/>
      </w:rPr>
      <w:t>2</w:t>
    </w:r>
    <w:r>
      <w:rPr>
        <w:rStyle w:val="a4"/>
        <w:sz w:val="24"/>
      </w:rPr>
      <w:fldChar w:fldCharType="end"/>
    </w:r>
  </w:p>
  <w:p w:rsidR="00AB1508" w:rsidRDefault="00AB150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F29" w:rsidRDefault="00653648">
      <w:r>
        <w:separator/>
      </w:r>
    </w:p>
  </w:footnote>
  <w:footnote w:type="continuationSeparator" w:id="0">
    <w:p w:rsidR="00057F29" w:rsidRDefault="006536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2A6323"/>
    <w:multiLevelType w:val="hybridMultilevel"/>
    <w:tmpl w:val="FF9E1740"/>
    <w:lvl w:ilvl="0" w:tplc="FFFFFFFF">
      <w:start w:val="1"/>
      <w:numFmt w:val="decimal"/>
      <w:lvlText w:val="%1."/>
      <w:lvlJc w:val="left"/>
      <w:pPr>
        <w:tabs>
          <w:tab w:val="num" w:pos="1204"/>
        </w:tabs>
        <w:ind w:left="1204" w:hanging="7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974"/>
        </w:tabs>
        <w:ind w:left="2974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1212"/>
        </w:tabs>
        <w:ind w:left="1212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D6E7E"/>
    <w:multiLevelType w:val="hybridMultilevel"/>
    <w:tmpl w:val="2A263AC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508"/>
    <w:rsid w:val="00057F29"/>
    <w:rsid w:val="0015424B"/>
    <w:rsid w:val="003C622E"/>
    <w:rsid w:val="00653648"/>
    <w:rsid w:val="00842DDF"/>
    <w:rsid w:val="00AB1508"/>
    <w:rsid w:val="00DD1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6707E8-F380-4264-9E7E-6144E7E11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508"/>
    <w:rPr>
      <w:sz w:val="28"/>
    </w:rPr>
  </w:style>
  <w:style w:type="paragraph" w:styleId="8">
    <w:name w:val="heading 8"/>
    <w:basedOn w:val="a"/>
    <w:next w:val="a"/>
    <w:qFormat/>
    <w:rsid w:val="00AB1508"/>
    <w:pPr>
      <w:keepNext/>
      <w:outlineLvl w:val="7"/>
    </w:pPr>
    <w:rPr>
      <w:b/>
      <w:bCs/>
      <w:sz w:val="22"/>
      <w:lang w:val="ru-M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B1508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AB1508"/>
  </w:style>
  <w:style w:type="paragraph" w:styleId="a5">
    <w:name w:val="Body Text Indent"/>
    <w:basedOn w:val="a"/>
    <w:rsid w:val="00AB1508"/>
    <w:pPr>
      <w:tabs>
        <w:tab w:val="left" w:pos="426"/>
      </w:tabs>
      <w:ind w:firstLine="454"/>
      <w:jc w:val="both"/>
    </w:pPr>
    <w:rPr>
      <w:sz w:val="22"/>
    </w:rPr>
  </w:style>
  <w:style w:type="paragraph" w:customStyle="1" w:styleId="1">
    <w:name w:val="Звичайний1"/>
    <w:rsid w:val="00AB1508"/>
    <w:pPr>
      <w:widowControl w:val="0"/>
    </w:pPr>
    <w:rPr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вкгу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251_4</dc:creator>
  <cp:keywords/>
  <cp:lastModifiedBy>Irina</cp:lastModifiedBy>
  <cp:revision>2</cp:revision>
  <dcterms:created xsi:type="dcterms:W3CDTF">2014-08-01T15:47:00Z</dcterms:created>
  <dcterms:modified xsi:type="dcterms:W3CDTF">2014-08-01T15:47:00Z</dcterms:modified>
</cp:coreProperties>
</file>