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FF" w:rsidRPr="00210EC7" w:rsidRDefault="009C16FF" w:rsidP="009C16FF">
      <w:pPr>
        <w:spacing w:before="120"/>
        <w:jc w:val="center"/>
        <w:rPr>
          <w:b/>
          <w:sz w:val="32"/>
        </w:rPr>
      </w:pPr>
      <w:r w:rsidRPr="00210EC7">
        <w:rPr>
          <w:b/>
          <w:sz w:val="32"/>
        </w:rPr>
        <w:t>Субсидии на иные цели: приобретение и учет основных средств</w:t>
      </w:r>
    </w:p>
    <w:p w:rsidR="009C16FF" w:rsidRPr="00210EC7" w:rsidRDefault="009C16FF" w:rsidP="009C16FF">
      <w:pPr>
        <w:spacing w:before="120"/>
        <w:jc w:val="center"/>
        <w:rPr>
          <w:b/>
          <w:sz w:val="28"/>
        </w:rPr>
      </w:pPr>
      <w:r w:rsidRPr="00210EC7">
        <w:rPr>
          <w:b/>
          <w:sz w:val="28"/>
        </w:rPr>
        <w:t>Т. Сильвестрова, главный редактор журнала "Бюджетные организации: бухгалтерский учет и налогообложение"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Бюджетным учреждениям</w:t>
      </w:r>
      <w:r>
        <w:t xml:space="preserve">, </w:t>
      </w:r>
      <w:r w:rsidRPr="00210EC7">
        <w:t>помимо субсидий на</w:t>
      </w:r>
      <w:r>
        <w:t xml:space="preserve"> </w:t>
      </w:r>
      <w:r w:rsidRPr="00210EC7">
        <w:t>возмещение нормативных затрат</w:t>
      </w:r>
      <w:r>
        <w:t xml:space="preserve">, </w:t>
      </w:r>
      <w:r w:rsidRPr="00210EC7">
        <w:t>связанных с</w:t>
      </w:r>
      <w:r>
        <w:t xml:space="preserve"> </w:t>
      </w:r>
      <w:r w:rsidRPr="00210EC7">
        <w:t>оказанием государственных (муниципальных) услуг (выполнением работ) физическим и</w:t>
      </w:r>
      <w:r>
        <w:t xml:space="preserve"> </w:t>
      </w:r>
      <w:r w:rsidRPr="00210EC7">
        <w:t>(или) юридическим лицам</w:t>
      </w:r>
      <w:r>
        <w:t xml:space="preserve">, </w:t>
      </w:r>
      <w:r w:rsidRPr="00210EC7">
        <w:t>предоставляются субсидии на</w:t>
      </w:r>
      <w:r>
        <w:t xml:space="preserve"> </w:t>
      </w:r>
      <w:r w:rsidRPr="00210EC7">
        <w:t>иные цели (ст.</w:t>
      </w:r>
      <w:r>
        <w:t xml:space="preserve"> </w:t>
      </w:r>
      <w:r w:rsidRPr="00210EC7">
        <w:t>78.1 БК</w:t>
      </w:r>
      <w:r>
        <w:t xml:space="preserve"> </w:t>
      </w:r>
      <w:r w:rsidRPr="00210EC7">
        <w:t>РФ). О</w:t>
      </w:r>
      <w:r>
        <w:t xml:space="preserve"> </w:t>
      </w:r>
      <w:r w:rsidRPr="00210EC7">
        <w:t>том</w:t>
      </w:r>
      <w:r>
        <w:t xml:space="preserve">, </w:t>
      </w:r>
      <w:r w:rsidRPr="00210EC7">
        <w:t>какими бухгалтерскими записями отражаются операции по</w:t>
      </w:r>
      <w:r>
        <w:t xml:space="preserve"> </w:t>
      </w:r>
      <w:r w:rsidRPr="00210EC7">
        <w:t>учету основных средств</w:t>
      </w:r>
      <w:r>
        <w:t xml:space="preserve">, </w:t>
      </w:r>
      <w:r w:rsidRPr="00210EC7">
        <w:t>приобретенных за</w:t>
      </w:r>
      <w:r>
        <w:t xml:space="preserve"> </w:t>
      </w:r>
      <w:r w:rsidRPr="00210EC7">
        <w:t>счет этого источника финансирования</w:t>
      </w:r>
      <w:r>
        <w:t xml:space="preserve">, </w:t>
      </w:r>
      <w:r w:rsidRPr="00210EC7">
        <w:t>и</w:t>
      </w:r>
      <w:r>
        <w:t xml:space="preserve"> </w:t>
      </w:r>
      <w:r w:rsidRPr="00210EC7">
        <w:t>пойдет речь в</w:t>
      </w:r>
      <w:r>
        <w:t xml:space="preserve"> </w:t>
      </w:r>
      <w:r w:rsidRPr="00210EC7">
        <w:t>нашей статье.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Общие положения о</w:t>
      </w:r>
      <w:r>
        <w:t xml:space="preserve"> </w:t>
      </w:r>
      <w:r w:rsidRPr="00210EC7">
        <w:t>предоставлении субсидий на</w:t>
      </w:r>
      <w:r>
        <w:t xml:space="preserve"> </w:t>
      </w:r>
      <w:r w:rsidRPr="00210EC7">
        <w:t>иные цели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Порядок предоставления субсидий бюджетным учреждениям на</w:t>
      </w:r>
      <w:r>
        <w:t xml:space="preserve"> </w:t>
      </w:r>
      <w:r w:rsidRPr="00210EC7">
        <w:t>иные цели утверждается: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отношении средств федерального бюджета</w:t>
      </w:r>
      <w:r>
        <w:t xml:space="preserve"> </w:t>
      </w:r>
      <w:r w:rsidRPr="00210EC7">
        <w:t>– органом государственной власти</w:t>
      </w:r>
      <w:r>
        <w:t xml:space="preserve">, </w:t>
      </w:r>
      <w:r w:rsidRPr="00210EC7">
        <w:t>выполняющим функции учредителя. В</w:t>
      </w:r>
      <w:r>
        <w:t xml:space="preserve"> </w:t>
      </w:r>
      <w:r w:rsidRPr="00210EC7">
        <w:t>качестве примера можно привести приказы Минкультуры</w:t>
      </w:r>
      <w:r>
        <w:t xml:space="preserve"> </w:t>
      </w:r>
      <w:r w:rsidRPr="00210EC7">
        <w:t>РФ от</w:t>
      </w:r>
      <w:r>
        <w:t xml:space="preserve"> </w:t>
      </w:r>
      <w:r w:rsidRPr="00210EC7">
        <w:t>16.01.2012 № 3 «Об</w:t>
      </w:r>
      <w:r>
        <w:t xml:space="preserve"> </w:t>
      </w:r>
      <w:r w:rsidRPr="00210EC7">
        <w:t>утверждении Порядка предоставления из</w:t>
      </w:r>
      <w:r>
        <w:t xml:space="preserve"> </w:t>
      </w:r>
      <w:r w:rsidRPr="00210EC7">
        <w:t>федерального бюджета субсидии Государственному Эрмитажу»</w:t>
      </w:r>
      <w:r>
        <w:t xml:space="preserve">, </w:t>
      </w:r>
      <w:r w:rsidRPr="00210EC7">
        <w:t>ФНС</w:t>
      </w:r>
      <w:r>
        <w:t xml:space="preserve"> </w:t>
      </w:r>
      <w:r w:rsidRPr="00210EC7">
        <w:t>РФ от</w:t>
      </w:r>
      <w:r>
        <w:t xml:space="preserve"> </w:t>
      </w:r>
      <w:r w:rsidRPr="00210EC7">
        <w:t>27.04.2012 № ММВ-7-5/281@ «Об</w:t>
      </w:r>
      <w:r>
        <w:t xml:space="preserve"> </w:t>
      </w:r>
      <w:r w:rsidRPr="00210EC7">
        <w:t>утверждении Правил предоставления в</w:t>
      </w:r>
      <w:r>
        <w:t xml:space="preserve"> </w:t>
      </w:r>
      <w:r w:rsidRPr="00210EC7">
        <w:t>2012</w:t>
      </w:r>
      <w:r>
        <w:t xml:space="preserve"> </w:t>
      </w:r>
      <w:r w:rsidRPr="00210EC7">
        <w:t>– 2014</w:t>
      </w:r>
      <w:r>
        <w:t xml:space="preserve"> </w:t>
      </w:r>
      <w:r w:rsidRPr="00210EC7">
        <w:t>годах из</w:t>
      </w:r>
      <w:r>
        <w:t xml:space="preserve"> </w:t>
      </w:r>
      <w:r w:rsidRPr="00210EC7">
        <w:t>федерального бюджета федеральным бюджетным учреждениям</w:t>
      </w:r>
      <w:r>
        <w:t xml:space="preserve">, </w:t>
      </w:r>
      <w:r w:rsidRPr="00210EC7">
        <w:t>в</w:t>
      </w:r>
      <w:r>
        <w:t xml:space="preserve"> </w:t>
      </w:r>
      <w:r w:rsidRPr="00210EC7">
        <w:t>отношении которых Федеральная налоговая служба осуществляет функции и</w:t>
      </w:r>
      <w:r>
        <w:t xml:space="preserve"> </w:t>
      </w:r>
      <w:r w:rsidRPr="00210EC7">
        <w:t>полномочии учредителя</w:t>
      </w:r>
      <w:r>
        <w:t xml:space="preserve">, </w:t>
      </w:r>
      <w:r w:rsidRPr="00210EC7">
        <w:t>субсидий на</w:t>
      </w:r>
      <w:r>
        <w:t xml:space="preserve"> </w:t>
      </w:r>
      <w:r w:rsidRPr="00210EC7">
        <w:t>цели</w:t>
      </w:r>
      <w:r>
        <w:t xml:space="preserve">, </w:t>
      </w:r>
      <w:r w:rsidRPr="00210EC7">
        <w:t>не</w:t>
      </w:r>
      <w:r>
        <w:t xml:space="preserve"> </w:t>
      </w:r>
      <w:r w:rsidRPr="00210EC7">
        <w:t>связанные с</w:t>
      </w:r>
      <w:r>
        <w:t xml:space="preserve"> </w:t>
      </w:r>
      <w:r w:rsidRPr="00210EC7">
        <w:t>возмещением нормативных затрат на</w:t>
      </w:r>
      <w:r>
        <w:t xml:space="preserve"> </w:t>
      </w:r>
      <w:r w:rsidRPr="00210EC7">
        <w:t>оказание государственных услуг»</w:t>
      </w:r>
      <w:r>
        <w:t xml:space="preserve">, </w:t>
      </w:r>
      <w:r w:rsidRPr="00210EC7">
        <w:t>Минсельхоза</w:t>
      </w:r>
      <w:r>
        <w:t xml:space="preserve"> </w:t>
      </w:r>
      <w:r w:rsidRPr="00210EC7">
        <w:t>РФ от</w:t>
      </w:r>
      <w:r>
        <w:t xml:space="preserve"> </w:t>
      </w:r>
      <w:r w:rsidRPr="00210EC7">
        <w:t>17.01.2012 № 70 «Об</w:t>
      </w:r>
      <w:r>
        <w:t xml:space="preserve"> </w:t>
      </w:r>
      <w:r w:rsidRPr="00210EC7">
        <w:t>утверждении Правил предоставления Министерством сельского хозяйства Российской Федерации в</w:t>
      </w:r>
      <w:r>
        <w:t xml:space="preserve"> </w:t>
      </w:r>
      <w:r w:rsidRPr="00210EC7">
        <w:t>2012</w:t>
      </w:r>
      <w:r>
        <w:t xml:space="preserve"> </w:t>
      </w:r>
      <w:r w:rsidRPr="00210EC7">
        <w:t>– 2014</w:t>
      </w:r>
      <w:r>
        <w:t xml:space="preserve"> </w:t>
      </w:r>
      <w:r w:rsidRPr="00210EC7">
        <w:t>годах из</w:t>
      </w:r>
      <w:r>
        <w:t xml:space="preserve"> </w:t>
      </w:r>
      <w:r w:rsidRPr="00210EC7">
        <w:t>федерального бюджета субсидий подведомственным федеральным образовательным бюджетным и</w:t>
      </w:r>
      <w:r>
        <w:t xml:space="preserve"> </w:t>
      </w:r>
      <w:r w:rsidRPr="00210EC7">
        <w:t>автономным учреждениям на</w:t>
      </w:r>
      <w:r>
        <w:t xml:space="preserve"> </w:t>
      </w:r>
      <w:r w:rsidRPr="00210EC7">
        <w:t>иные цели»;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отношении средств бюджетов субъектов</w:t>
      </w:r>
      <w:r>
        <w:t xml:space="preserve"> </w:t>
      </w:r>
      <w:r w:rsidRPr="00210EC7">
        <w:t>РФ</w:t>
      </w:r>
      <w:r>
        <w:t xml:space="preserve"> </w:t>
      </w:r>
      <w:r w:rsidRPr="00210EC7">
        <w:t>– органом власти субъекта</w:t>
      </w:r>
      <w:r>
        <w:t xml:space="preserve"> </w:t>
      </w:r>
      <w:r w:rsidRPr="00210EC7">
        <w:t>РФ. В</w:t>
      </w:r>
      <w:r>
        <w:t xml:space="preserve"> </w:t>
      </w:r>
      <w:r w:rsidRPr="00210EC7">
        <w:t>качестве примера такого нормативного акта можно привести Постановление Правительства МО от</w:t>
      </w:r>
      <w:r>
        <w:t xml:space="preserve"> </w:t>
      </w:r>
      <w:r w:rsidRPr="00210EC7">
        <w:t>17.04.2012 № 507/14 «Об</w:t>
      </w:r>
      <w:r>
        <w:t xml:space="preserve"> </w:t>
      </w:r>
      <w:r w:rsidRPr="00210EC7">
        <w:t>утверждении Порядка определения объема и</w:t>
      </w:r>
      <w:r>
        <w:t xml:space="preserve"> </w:t>
      </w:r>
      <w:r w:rsidRPr="00210EC7">
        <w:t>условий предоставления субсидий на</w:t>
      </w:r>
      <w:r>
        <w:t xml:space="preserve"> </w:t>
      </w:r>
      <w:r w:rsidRPr="00210EC7">
        <w:t>иные цели государственным бюджетным и</w:t>
      </w:r>
      <w:r>
        <w:t xml:space="preserve"> </w:t>
      </w:r>
      <w:r w:rsidRPr="00210EC7">
        <w:t>автономным учреждениям Московской области»;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отношении средств бюджетов муниципалитетов</w:t>
      </w:r>
      <w:r>
        <w:t xml:space="preserve"> </w:t>
      </w:r>
      <w:r w:rsidRPr="00210EC7">
        <w:t>– муниципальным органом управления (см.</w:t>
      </w:r>
      <w:r>
        <w:t xml:space="preserve">, </w:t>
      </w:r>
      <w:r w:rsidRPr="00210EC7">
        <w:t>например</w:t>
      </w:r>
      <w:r>
        <w:t xml:space="preserve">, </w:t>
      </w:r>
      <w:r w:rsidRPr="00210EC7">
        <w:t>постановления администрации Чеховского муниципального района МО от</w:t>
      </w:r>
      <w:r>
        <w:t xml:space="preserve"> </w:t>
      </w:r>
      <w:r w:rsidRPr="00210EC7">
        <w:t>10.04.2012 № 421/10-1 «Об</w:t>
      </w:r>
      <w:r>
        <w:t xml:space="preserve"> </w:t>
      </w:r>
      <w:r w:rsidRPr="00210EC7">
        <w:t>утверждении Порядка определения объема и</w:t>
      </w:r>
      <w:r>
        <w:t xml:space="preserve"> </w:t>
      </w:r>
      <w:r w:rsidRPr="00210EC7">
        <w:t>условий предоставления субсидий на</w:t>
      </w:r>
      <w:r>
        <w:t xml:space="preserve"> </w:t>
      </w:r>
      <w:r w:rsidRPr="00210EC7">
        <w:t>иные цели муниципальным бюджетным учреждениям здравоохранения Чеховского муниципального района»</w:t>
      </w:r>
      <w:r>
        <w:t xml:space="preserve">, </w:t>
      </w:r>
      <w:r w:rsidRPr="00210EC7">
        <w:t>администрации г.</w:t>
      </w:r>
      <w:r>
        <w:t xml:space="preserve"> </w:t>
      </w:r>
      <w:r w:rsidRPr="00210EC7">
        <w:t>Н.</w:t>
      </w:r>
      <w:r>
        <w:t xml:space="preserve"> </w:t>
      </w:r>
      <w:r w:rsidRPr="00210EC7">
        <w:t>Новгорода от</w:t>
      </w:r>
      <w:r>
        <w:t xml:space="preserve"> </w:t>
      </w:r>
      <w:r w:rsidRPr="00210EC7">
        <w:t>13.02.2012 № 505 «Об</w:t>
      </w:r>
      <w:r>
        <w:t xml:space="preserve"> </w:t>
      </w:r>
      <w:r w:rsidRPr="00210EC7">
        <w:t>утверждении порядка определения объема и</w:t>
      </w:r>
      <w:r>
        <w:t xml:space="preserve"> </w:t>
      </w:r>
      <w:r w:rsidRPr="00210EC7">
        <w:t>условия предоставления субсидий из</w:t>
      </w:r>
      <w:r>
        <w:t xml:space="preserve"> </w:t>
      </w:r>
      <w:r w:rsidRPr="00210EC7">
        <w:t>бюджета города Нижнего Новгорода муниципальным бюджетным и</w:t>
      </w:r>
      <w:r>
        <w:t xml:space="preserve"> </w:t>
      </w:r>
      <w:r w:rsidRPr="00210EC7">
        <w:t>муниципальным автономным учреждениям города Нижнего Новгорода на</w:t>
      </w:r>
      <w:r>
        <w:t xml:space="preserve"> </w:t>
      </w:r>
      <w:r w:rsidRPr="00210EC7">
        <w:t>иные цели»).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нормативном акте</w:t>
      </w:r>
      <w:r>
        <w:t xml:space="preserve">, </w:t>
      </w:r>
      <w:r w:rsidRPr="00210EC7">
        <w:t>устанавливающем правила предоставления бюджетным учреждениям субсидий на</w:t>
      </w:r>
      <w:r>
        <w:t xml:space="preserve"> </w:t>
      </w:r>
      <w:r w:rsidRPr="00210EC7">
        <w:t>иные цели (далее</w:t>
      </w:r>
      <w:r>
        <w:t xml:space="preserve"> </w:t>
      </w:r>
      <w:r w:rsidRPr="00210EC7">
        <w:t>– Порядок предоставления субсидий на</w:t>
      </w:r>
      <w:r>
        <w:t xml:space="preserve"> </w:t>
      </w:r>
      <w:r w:rsidRPr="00210EC7">
        <w:t>иные цели)</w:t>
      </w:r>
      <w:r>
        <w:t xml:space="preserve">, </w:t>
      </w:r>
      <w:r w:rsidRPr="00210EC7">
        <w:t>прописывается</w:t>
      </w:r>
      <w:r>
        <w:t xml:space="preserve">, </w:t>
      </w:r>
      <w:r w:rsidRPr="00210EC7">
        <w:t>что</w:t>
      </w:r>
      <w:r>
        <w:t xml:space="preserve"> </w:t>
      </w:r>
      <w:r w:rsidRPr="00210EC7">
        <w:t>субсидия предоставляется учреждению в</w:t>
      </w:r>
      <w:r>
        <w:t xml:space="preserve"> </w:t>
      </w:r>
      <w:r w:rsidRPr="00210EC7">
        <w:t>пределах бюджетных ассигнований</w:t>
      </w:r>
      <w:r>
        <w:t xml:space="preserve">, </w:t>
      </w:r>
      <w:r w:rsidRPr="00210EC7">
        <w:t>предусмотренных законом о</w:t>
      </w:r>
      <w:r>
        <w:t xml:space="preserve"> </w:t>
      </w:r>
      <w:r w:rsidRPr="00210EC7">
        <w:t>бюджете на</w:t>
      </w:r>
      <w:r>
        <w:t xml:space="preserve"> </w:t>
      </w:r>
      <w:r w:rsidRPr="00210EC7">
        <w:t>соответствующий финансовый год и</w:t>
      </w:r>
      <w:r>
        <w:t xml:space="preserve"> </w:t>
      </w:r>
      <w:r w:rsidRPr="00210EC7">
        <w:t>плановый период</w:t>
      </w:r>
      <w:r>
        <w:t xml:space="preserve">, </w:t>
      </w:r>
      <w:r w:rsidRPr="00210EC7">
        <w:t>и</w:t>
      </w:r>
      <w:r>
        <w:t xml:space="preserve"> </w:t>
      </w:r>
      <w:r w:rsidRPr="00210EC7">
        <w:t>лимитов бюджетных обязательств</w:t>
      </w:r>
      <w:r>
        <w:t xml:space="preserve">, </w:t>
      </w:r>
      <w:r w:rsidRPr="00210EC7">
        <w:t>утвержденных в</w:t>
      </w:r>
      <w:r>
        <w:t xml:space="preserve"> </w:t>
      </w:r>
      <w:r w:rsidRPr="00210EC7">
        <w:t>установленном порядке бюджетному учреждению. Предоставление субсидии учреждению осуще-ствляется на</w:t>
      </w:r>
      <w:r>
        <w:t xml:space="preserve"> </w:t>
      </w:r>
      <w:r w:rsidRPr="00210EC7">
        <w:t>основании соглашения о</w:t>
      </w:r>
      <w:r>
        <w:t xml:space="preserve"> </w:t>
      </w:r>
      <w:r w:rsidRPr="00210EC7">
        <w:t>предоставлении субсидии</w:t>
      </w:r>
      <w:r>
        <w:t xml:space="preserve">, </w:t>
      </w:r>
      <w:r w:rsidRPr="00210EC7">
        <w:t>заключенного между органом</w:t>
      </w:r>
      <w:r>
        <w:t xml:space="preserve">, </w:t>
      </w:r>
      <w:r w:rsidRPr="00210EC7">
        <w:t>осуществляющим функции и</w:t>
      </w:r>
      <w:r>
        <w:t xml:space="preserve"> </w:t>
      </w:r>
      <w:r w:rsidRPr="00210EC7">
        <w:t>полномочия учредителя</w:t>
      </w:r>
      <w:r>
        <w:t xml:space="preserve">, </w:t>
      </w:r>
      <w:r w:rsidRPr="00210EC7">
        <w:t>и</w:t>
      </w:r>
      <w:r>
        <w:t xml:space="preserve"> </w:t>
      </w:r>
      <w:r w:rsidRPr="00210EC7">
        <w:t>учреждением. Необходимость наличия соглашения и</w:t>
      </w:r>
      <w:r>
        <w:t xml:space="preserve"> </w:t>
      </w:r>
      <w:r w:rsidRPr="00210EC7">
        <w:t>перечень условий</w:t>
      </w:r>
      <w:r>
        <w:t xml:space="preserve">, </w:t>
      </w:r>
      <w:r w:rsidRPr="00210EC7">
        <w:t>которые должны в</w:t>
      </w:r>
      <w:r>
        <w:t xml:space="preserve"> </w:t>
      </w:r>
      <w:r w:rsidRPr="00210EC7">
        <w:t>нем содержаться</w:t>
      </w:r>
      <w:r>
        <w:t xml:space="preserve">, </w:t>
      </w:r>
      <w:r w:rsidRPr="00210EC7">
        <w:t>прописываются в</w:t>
      </w:r>
      <w:r>
        <w:t xml:space="preserve"> </w:t>
      </w:r>
      <w:r w:rsidRPr="00210EC7">
        <w:t>Порядке предоставления субсидий на</w:t>
      </w:r>
      <w:r>
        <w:t xml:space="preserve"> </w:t>
      </w:r>
      <w:r w:rsidRPr="00210EC7">
        <w:t>иные цели. Обычно соглашение предусматривает следующие условия: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объем</w:t>
      </w:r>
      <w:r>
        <w:t xml:space="preserve">, </w:t>
      </w:r>
      <w:r w:rsidRPr="00210EC7">
        <w:t>сроки (периодичность) перечисления субсидии (в</w:t>
      </w:r>
      <w:r>
        <w:t xml:space="preserve"> </w:t>
      </w:r>
      <w:r w:rsidRPr="00210EC7">
        <w:t>том числе по</w:t>
      </w:r>
      <w:r>
        <w:t xml:space="preserve"> </w:t>
      </w:r>
      <w:r w:rsidRPr="00210EC7">
        <w:t>месяцам)</w:t>
      </w:r>
      <w:r>
        <w:t xml:space="preserve">, </w:t>
      </w:r>
      <w:r w:rsidRPr="00210EC7">
        <w:t>цели предоставления субсидии;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обязательства учреждения по</w:t>
      </w:r>
      <w:r>
        <w:t xml:space="preserve"> </w:t>
      </w:r>
      <w:r w:rsidRPr="00210EC7">
        <w:t>целевому использованию субсидии;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перечень документов</w:t>
      </w:r>
      <w:r>
        <w:t xml:space="preserve">, </w:t>
      </w:r>
      <w:r w:rsidRPr="00210EC7">
        <w:t>необходимых для</w:t>
      </w:r>
      <w:r>
        <w:t xml:space="preserve"> </w:t>
      </w:r>
      <w:r w:rsidRPr="00210EC7">
        <w:t>предоставления субсидии;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право органа</w:t>
      </w:r>
      <w:r>
        <w:t xml:space="preserve">, </w:t>
      </w:r>
      <w:r w:rsidRPr="00210EC7">
        <w:t>осуществляющего функции и</w:t>
      </w:r>
      <w:r>
        <w:t xml:space="preserve"> </w:t>
      </w:r>
      <w:r w:rsidRPr="00210EC7">
        <w:t>полномочия учредителя</w:t>
      </w:r>
      <w:r>
        <w:t xml:space="preserve">, </w:t>
      </w:r>
      <w:r w:rsidRPr="00210EC7">
        <w:t>на</w:t>
      </w:r>
      <w:r>
        <w:t xml:space="preserve"> </w:t>
      </w:r>
      <w:r w:rsidRPr="00210EC7">
        <w:t>проведение проверок соблюдения учреждением условий</w:t>
      </w:r>
      <w:r>
        <w:t xml:space="preserve">, </w:t>
      </w:r>
      <w:r w:rsidRPr="00210EC7">
        <w:t>установленных соглашением;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обязательства учреждения по</w:t>
      </w:r>
      <w:r>
        <w:t xml:space="preserve"> </w:t>
      </w:r>
      <w:r w:rsidRPr="00210EC7">
        <w:t>возврату субсидии</w:t>
      </w:r>
      <w:r>
        <w:t xml:space="preserve">, </w:t>
      </w:r>
      <w:r w:rsidRPr="00210EC7">
        <w:t>использованной не</w:t>
      </w:r>
      <w:r>
        <w:t xml:space="preserve"> </w:t>
      </w:r>
      <w:r w:rsidRPr="00210EC7">
        <w:t>по</w:t>
      </w:r>
      <w:r>
        <w:t xml:space="preserve"> </w:t>
      </w:r>
      <w:r w:rsidRPr="00210EC7">
        <w:t>целевому назначению;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порядок</w:t>
      </w:r>
      <w:r>
        <w:t xml:space="preserve">, </w:t>
      </w:r>
      <w:r w:rsidRPr="00210EC7">
        <w:t>сроки и</w:t>
      </w:r>
      <w:r>
        <w:t xml:space="preserve"> </w:t>
      </w:r>
      <w:r w:rsidRPr="00210EC7">
        <w:t>форма представления учреждением отчетности об</w:t>
      </w:r>
      <w:r>
        <w:t xml:space="preserve"> </w:t>
      </w:r>
      <w:r w:rsidRPr="00210EC7">
        <w:t>использовании субсидии;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порядок и</w:t>
      </w:r>
      <w:r>
        <w:t xml:space="preserve"> </w:t>
      </w:r>
      <w:r w:rsidRPr="00210EC7">
        <w:t>условия расторжения соглашения</w:t>
      </w:r>
      <w:r>
        <w:t xml:space="preserve">, </w:t>
      </w:r>
      <w:r w:rsidRPr="00210EC7">
        <w:t>внесения в</w:t>
      </w:r>
      <w:r>
        <w:t xml:space="preserve"> </w:t>
      </w:r>
      <w:r w:rsidRPr="00210EC7">
        <w:t>него изменений и</w:t>
      </w:r>
      <w:r>
        <w:t xml:space="preserve"> </w:t>
      </w:r>
      <w:r w:rsidRPr="00210EC7">
        <w:t>дополнений;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ответственность за</w:t>
      </w:r>
      <w:r>
        <w:t xml:space="preserve"> </w:t>
      </w:r>
      <w:r w:rsidRPr="00210EC7">
        <w:t>несоблюдение сторонами условий соглашения.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Перечисление субсидий на</w:t>
      </w:r>
      <w:r>
        <w:t xml:space="preserve"> </w:t>
      </w:r>
      <w:r w:rsidRPr="00210EC7">
        <w:t>иные цели осуществляется на</w:t>
      </w:r>
      <w:r>
        <w:t xml:space="preserve"> </w:t>
      </w:r>
      <w:r w:rsidRPr="00210EC7">
        <w:t>отдельный лицевой счет учреждения. Санкционирование оплаты денежных обязательств по</w:t>
      </w:r>
      <w:r>
        <w:t xml:space="preserve"> </w:t>
      </w:r>
      <w:r w:rsidRPr="00210EC7">
        <w:t>этим субсидиям производится в</w:t>
      </w:r>
      <w:r>
        <w:t xml:space="preserve"> </w:t>
      </w:r>
      <w:r w:rsidRPr="00210EC7">
        <w:t>порядке</w:t>
      </w:r>
      <w:r>
        <w:t xml:space="preserve">, </w:t>
      </w:r>
      <w:r w:rsidRPr="00210EC7">
        <w:t>установленном Приказом Минфина</w:t>
      </w:r>
      <w:r>
        <w:t xml:space="preserve"> </w:t>
      </w:r>
      <w:r w:rsidRPr="00210EC7">
        <w:t>РФ от</w:t>
      </w:r>
      <w:r>
        <w:t xml:space="preserve"> </w:t>
      </w:r>
      <w:r w:rsidRPr="00210EC7">
        <w:t>16.07.2010 № 72н «О</w:t>
      </w:r>
      <w:r>
        <w:t xml:space="preserve"> </w:t>
      </w:r>
      <w:r w:rsidRPr="00210EC7">
        <w:t>санкционировании расходов федеральных государственных учреждений</w:t>
      </w:r>
      <w:r>
        <w:t xml:space="preserve">, </w:t>
      </w:r>
      <w:r w:rsidRPr="00210EC7">
        <w:t>источником финансового обеспечения которых являются субсидии</w:t>
      </w:r>
      <w:r>
        <w:t xml:space="preserve">, </w:t>
      </w:r>
      <w:r w:rsidRPr="00210EC7">
        <w:t>полученные в</w:t>
      </w:r>
      <w:r>
        <w:t xml:space="preserve"> </w:t>
      </w:r>
      <w:r w:rsidRPr="00210EC7">
        <w:t>соответствии с</w:t>
      </w:r>
      <w:r>
        <w:t xml:space="preserve"> </w:t>
      </w:r>
      <w:r w:rsidRPr="00210EC7">
        <w:t>абзацем вторым пункта 1 статьи 78.1 Бюджетного кодекса Российской Федерации».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Об</w:t>
      </w:r>
      <w:r>
        <w:t xml:space="preserve"> </w:t>
      </w:r>
      <w:r w:rsidRPr="00210EC7">
        <w:t>использовании субсидий на</w:t>
      </w:r>
      <w:r>
        <w:t xml:space="preserve"> </w:t>
      </w:r>
      <w:r w:rsidRPr="00210EC7">
        <w:t>иные цели (не</w:t>
      </w:r>
      <w:r>
        <w:t xml:space="preserve"> </w:t>
      </w:r>
      <w:r w:rsidRPr="00210EC7">
        <w:t>на</w:t>
      </w:r>
      <w:r>
        <w:t xml:space="preserve"> </w:t>
      </w:r>
      <w:r w:rsidRPr="00210EC7">
        <w:t>возмещение нормативных затрат на</w:t>
      </w:r>
      <w:r>
        <w:t xml:space="preserve"> </w:t>
      </w:r>
      <w:r w:rsidRPr="00210EC7">
        <w:t>выполнение задания учредителя) учреждение представляет органу</w:t>
      </w:r>
      <w:r>
        <w:t xml:space="preserve">, </w:t>
      </w:r>
      <w:r w:rsidRPr="00210EC7">
        <w:t>осуществляющему функции и</w:t>
      </w:r>
      <w:r>
        <w:t xml:space="preserve"> </w:t>
      </w:r>
      <w:r w:rsidRPr="00210EC7">
        <w:t>полномочия учредителя</w:t>
      </w:r>
      <w:r>
        <w:t xml:space="preserve">, </w:t>
      </w:r>
      <w:r w:rsidRPr="00210EC7">
        <w:t>отчетность в</w:t>
      </w:r>
      <w:r>
        <w:t xml:space="preserve"> </w:t>
      </w:r>
      <w:r w:rsidRPr="00210EC7">
        <w:t>сроки</w:t>
      </w:r>
      <w:r>
        <w:t xml:space="preserve">, </w:t>
      </w:r>
      <w:r w:rsidRPr="00210EC7">
        <w:t>установленные соглашением. Не</w:t>
      </w:r>
      <w:r>
        <w:t xml:space="preserve"> </w:t>
      </w:r>
      <w:r w:rsidRPr="00210EC7">
        <w:t>использованные в</w:t>
      </w:r>
      <w:r>
        <w:t xml:space="preserve"> </w:t>
      </w:r>
      <w:r w:rsidRPr="00210EC7">
        <w:t>текущем финансовом году остатки средств субсидии подлежат возврату в</w:t>
      </w:r>
      <w:r>
        <w:t xml:space="preserve"> </w:t>
      </w:r>
      <w:r w:rsidRPr="00210EC7">
        <w:t>бюджет. В</w:t>
      </w:r>
      <w:r>
        <w:t xml:space="preserve"> </w:t>
      </w:r>
      <w:r w:rsidRPr="00210EC7">
        <w:t>соответствии с</w:t>
      </w:r>
      <w:r>
        <w:t xml:space="preserve"> </w:t>
      </w:r>
      <w:r w:rsidRPr="00210EC7">
        <w:t>решением органа</w:t>
      </w:r>
      <w:r>
        <w:t xml:space="preserve">, </w:t>
      </w:r>
      <w:r w:rsidRPr="00210EC7">
        <w:t>осуществляющего функции и</w:t>
      </w:r>
      <w:r>
        <w:t xml:space="preserve"> </w:t>
      </w:r>
      <w:r w:rsidRPr="00210EC7">
        <w:t>полномочия учредителя</w:t>
      </w:r>
      <w:r>
        <w:t xml:space="preserve">, </w:t>
      </w:r>
      <w:r w:rsidRPr="00210EC7">
        <w:t>о</w:t>
      </w:r>
      <w:r>
        <w:t xml:space="preserve"> </w:t>
      </w:r>
      <w:r w:rsidRPr="00210EC7">
        <w:t>наличии потребности в</w:t>
      </w:r>
      <w:r>
        <w:t xml:space="preserve"> </w:t>
      </w:r>
      <w:r w:rsidRPr="00210EC7">
        <w:t>не</w:t>
      </w:r>
      <w:r>
        <w:t xml:space="preserve"> </w:t>
      </w:r>
      <w:r w:rsidRPr="00210EC7">
        <w:t>использованной на</w:t>
      </w:r>
      <w:r>
        <w:t xml:space="preserve"> </w:t>
      </w:r>
      <w:r w:rsidRPr="00210EC7">
        <w:t>начало текущего финансового года субсидии остатки указанной субсидии могут быть использованы учреждением в</w:t>
      </w:r>
      <w:r>
        <w:t xml:space="preserve"> </w:t>
      </w:r>
      <w:r w:rsidRPr="00210EC7">
        <w:t>текущем финансовом году для</w:t>
      </w:r>
      <w:r>
        <w:t xml:space="preserve"> </w:t>
      </w:r>
      <w:r w:rsidRPr="00210EC7">
        <w:t>финансового обеспечения расходов</w:t>
      </w:r>
      <w:r>
        <w:t xml:space="preserve">, </w:t>
      </w:r>
      <w:r w:rsidRPr="00210EC7">
        <w:t>соответствующих целям предоставления субсидии. В</w:t>
      </w:r>
      <w:r>
        <w:t xml:space="preserve"> </w:t>
      </w:r>
      <w:r w:rsidRPr="00210EC7">
        <w:t>случае нарушения условий предоставления субсидии ее перечисление приостанавливается. Если субсидия будет использоваться на</w:t>
      </w:r>
      <w:r>
        <w:t xml:space="preserve"> </w:t>
      </w:r>
      <w:r w:rsidRPr="00210EC7">
        <w:t>цели</w:t>
      </w:r>
      <w:r>
        <w:t xml:space="preserve">, </w:t>
      </w:r>
      <w:r w:rsidRPr="00210EC7">
        <w:t>не</w:t>
      </w:r>
      <w:r>
        <w:t xml:space="preserve"> </w:t>
      </w:r>
      <w:r w:rsidRPr="00210EC7">
        <w:t>соответствующие условиям их</w:t>
      </w:r>
      <w:r>
        <w:t xml:space="preserve"> </w:t>
      </w:r>
      <w:r w:rsidRPr="00210EC7">
        <w:t>выделения</w:t>
      </w:r>
      <w:r>
        <w:t xml:space="preserve">, </w:t>
      </w:r>
      <w:r w:rsidRPr="00210EC7">
        <w:t>она подлежит взысканию в</w:t>
      </w:r>
      <w:r>
        <w:t xml:space="preserve"> </w:t>
      </w:r>
      <w:r w:rsidRPr="00210EC7">
        <w:t>доход бюджета.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Мы рассмотрели общие вопросы предоставления бюджетному учреждению субсидий на</w:t>
      </w:r>
      <w:r>
        <w:t xml:space="preserve"> </w:t>
      </w:r>
      <w:r w:rsidRPr="00210EC7">
        <w:t>иные цели. Однако в</w:t>
      </w:r>
      <w:r>
        <w:t xml:space="preserve"> </w:t>
      </w:r>
      <w:r w:rsidRPr="00210EC7">
        <w:t>рамках статьи нас в</w:t>
      </w:r>
      <w:r>
        <w:t xml:space="preserve"> </w:t>
      </w:r>
      <w:r w:rsidRPr="00210EC7">
        <w:t>первую очередь интересуют вопросы учета основных средств</w:t>
      </w:r>
      <w:r>
        <w:t xml:space="preserve">, </w:t>
      </w:r>
      <w:r w:rsidRPr="00210EC7">
        <w:t>приобретенных за</w:t>
      </w:r>
      <w:r>
        <w:t xml:space="preserve"> </w:t>
      </w:r>
      <w:r w:rsidRPr="00210EC7">
        <w:t>счет данных субсидий. Ниже остановимся на</w:t>
      </w:r>
      <w:r>
        <w:t xml:space="preserve"> </w:t>
      </w:r>
      <w:r w:rsidRPr="00210EC7">
        <w:t>этом подробнее.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Можно</w:t>
      </w:r>
      <w:r>
        <w:t xml:space="preserve"> </w:t>
      </w:r>
      <w:r w:rsidRPr="00210EC7">
        <w:t>ли приобретать основные средства</w:t>
      </w:r>
      <w:r>
        <w:t xml:space="preserve"> </w:t>
      </w:r>
      <w:r w:rsidRPr="00210EC7">
        <w:t>за</w:t>
      </w:r>
      <w:r>
        <w:t xml:space="preserve"> </w:t>
      </w:r>
      <w:r w:rsidRPr="00210EC7">
        <w:t>счет сумм субсидий?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Порядок предоставления субсидий на</w:t>
      </w:r>
      <w:r>
        <w:t xml:space="preserve"> </w:t>
      </w:r>
      <w:r w:rsidRPr="00210EC7">
        <w:t>иные цели обязательно устанавливает направления расходования субсидий (указывается</w:t>
      </w:r>
      <w:r>
        <w:t xml:space="preserve">, </w:t>
      </w:r>
      <w:r w:rsidRPr="00210EC7">
        <w:t>на</w:t>
      </w:r>
      <w:r>
        <w:t xml:space="preserve"> </w:t>
      </w:r>
      <w:r w:rsidRPr="00210EC7">
        <w:t>что</w:t>
      </w:r>
      <w:r>
        <w:t xml:space="preserve"> </w:t>
      </w:r>
      <w:r w:rsidRPr="00210EC7">
        <w:t>учреждение вправе израсходовать средства субсидий). В</w:t>
      </w:r>
      <w:r>
        <w:t xml:space="preserve"> </w:t>
      </w:r>
      <w:r w:rsidRPr="00210EC7">
        <w:t>частности</w:t>
      </w:r>
      <w:r>
        <w:t xml:space="preserve">, </w:t>
      </w:r>
      <w:r w:rsidRPr="00210EC7">
        <w:t>Порядком предоставления субсидий на</w:t>
      </w:r>
      <w:r>
        <w:t xml:space="preserve"> </w:t>
      </w:r>
      <w:r w:rsidRPr="00210EC7">
        <w:t>иные цели</w:t>
      </w:r>
      <w:r>
        <w:t xml:space="preserve">, </w:t>
      </w:r>
      <w:r w:rsidRPr="00210EC7">
        <w:t>утвержденным Приказом Минкультуры</w:t>
      </w:r>
      <w:r>
        <w:t xml:space="preserve"> </w:t>
      </w:r>
      <w:r w:rsidRPr="00210EC7">
        <w:t>РФ от</w:t>
      </w:r>
      <w:r>
        <w:t xml:space="preserve"> </w:t>
      </w:r>
      <w:r w:rsidRPr="00210EC7">
        <w:t>16.01.2012 № 3</w:t>
      </w:r>
      <w:r>
        <w:t xml:space="preserve">, </w:t>
      </w:r>
      <w:r w:rsidRPr="00210EC7">
        <w:t>определено</w:t>
      </w:r>
      <w:r>
        <w:t xml:space="preserve">, </w:t>
      </w:r>
      <w:r w:rsidRPr="00210EC7">
        <w:t>что</w:t>
      </w:r>
      <w:r>
        <w:t xml:space="preserve"> </w:t>
      </w:r>
      <w:r w:rsidRPr="00210EC7">
        <w:t>субсидия предоставляется на: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а)</w:t>
      </w:r>
      <w:r>
        <w:t xml:space="preserve"> </w:t>
      </w:r>
      <w:r w:rsidRPr="00210EC7">
        <w:t>выплаты стимулирующего характера по</w:t>
      </w:r>
      <w:r>
        <w:t xml:space="preserve"> </w:t>
      </w:r>
      <w:r w:rsidRPr="00210EC7">
        <w:t>итогам отчетного периода;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б)</w:t>
      </w:r>
      <w:r>
        <w:t xml:space="preserve"> </w:t>
      </w:r>
      <w:r w:rsidRPr="00210EC7">
        <w:t>мероприятия</w:t>
      </w:r>
      <w:r>
        <w:t xml:space="preserve">, </w:t>
      </w:r>
      <w:r w:rsidRPr="00210EC7">
        <w:t>связанные с</w:t>
      </w:r>
      <w:r>
        <w:t xml:space="preserve"> </w:t>
      </w:r>
      <w:r w:rsidRPr="00210EC7">
        <w:t>материально-техническим оснащением бюджетного учреждения</w:t>
      </w:r>
      <w:r>
        <w:t xml:space="preserve">, </w:t>
      </w:r>
      <w:r w:rsidRPr="00210EC7">
        <w:t>а</w:t>
      </w:r>
      <w:r>
        <w:t xml:space="preserve"> </w:t>
      </w:r>
      <w:r w:rsidRPr="00210EC7">
        <w:t>именно: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приобретение оборудования и</w:t>
      </w:r>
      <w:r>
        <w:t xml:space="preserve"> </w:t>
      </w:r>
      <w:r w:rsidRPr="00210EC7">
        <w:t>разработку проектной документации;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приобретение основных средств</w:t>
      </w:r>
      <w:r>
        <w:t xml:space="preserve">, </w:t>
      </w:r>
      <w:r w:rsidRPr="00210EC7">
        <w:t>за</w:t>
      </w:r>
      <w:r>
        <w:t xml:space="preserve"> </w:t>
      </w:r>
      <w:r w:rsidRPr="00210EC7">
        <w:t>исключением приобретаемых в</w:t>
      </w:r>
      <w:r>
        <w:t xml:space="preserve"> </w:t>
      </w:r>
      <w:r w:rsidRPr="00210EC7">
        <w:t>целях оказания государственных услуг (выполнения работ)</w:t>
      </w:r>
      <w:r>
        <w:t xml:space="preserve">, </w:t>
      </w:r>
      <w:r w:rsidRPr="00210EC7">
        <w:t>предусмотренных учредительным документом бюджетного учреждения;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в)</w:t>
      </w:r>
      <w:r>
        <w:t xml:space="preserve"> </w:t>
      </w:r>
      <w:r w:rsidRPr="00210EC7">
        <w:t>капитальный ремонт и</w:t>
      </w:r>
      <w:r>
        <w:t xml:space="preserve"> </w:t>
      </w:r>
      <w:r w:rsidRPr="00210EC7">
        <w:t>ремонтно-реставрационные работы на</w:t>
      </w:r>
      <w:r>
        <w:t xml:space="preserve"> </w:t>
      </w:r>
      <w:r w:rsidRPr="00210EC7">
        <w:t>объектах имущественного комплекса бюджетного учреждения;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г)</w:t>
      </w:r>
      <w:r>
        <w:t xml:space="preserve"> </w:t>
      </w:r>
      <w:r w:rsidRPr="00210EC7">
        <w:t>разработку проектно-сметной документации по</w:t>
      </w:r>
      <w:r>
        <w:t xml:space="preserve"> </w:t>
      </w:r>
      <w:r w:rsidRPr="00210EC7">
        <w:t>объектам</w:t>
      </w:r>
      <w:r>
        <w:t xml:space="preserve">, </w:t>
      </w:r>
      <w:r w:rsidRPr="00210EC7">
        <w:t>подлежащим капитальному ремонту и</w:t>
      </w:r>
      <w:r>
        <w:t xml:space="preserve"> </w:t>
      </w:r>
      <w:r w:rsidRPr="00210EC7">
        <w:t>реставрации;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д)</w:t>
      </w:r>
      <w:r>
        <w:t xml:space="preserve"> </w:t>
      </w:r>
      <w:r w:rsidRPr="00210EC7">
        <w:t>реализацию мероприятий</w:t>
      </w:r>
      <w:r>
        <w:t xml:space="preserve">, </w:t>
      </w:r>
      <w:r w:rsidRPr="00210EC7">
        <w:t>предусмотренных программой энергоэффективности бюджетного учреждения;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е)</w:t>
      </w:r>
      <w:r>
        <w:t xml:space="preserve"> </w:t>
      </w:r>
      <w:r w:rsidRPr="00210EC7">
        <w:t>другие мероприятия</w:t>
      </w:r>
      <w:r>
        <w:t xml:space="preserve">, </w:t>
      </w:r>
      <w:r w:rsidRPr="00210EC7">
        <w:t>установленные вышеназванным приказом.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Анализ нормативных актов</w:t>
      </w:r>
      <w:r>
        <w:t xml:space="preserve">, </w:t>
      </w:r>
      <w:r w:rsidRPr="00210EC7">
        <w:t>устанавливающих Порядок предоставления субсидий на</w:t>
      </w:r>
      <w:r>
        <w:t xml:space="preserve"> </w:t>
      </w:r>
      <w:r w:rsidRPr="00210EC7">
        <w:t>иные цели</w:t>
      </w:r>
      <w:r>
        <w:t xml:space="preserve">, </w:t>
      </w:r>
      <w:r w:rsidRPr="00210EC7">
        <w:t>показал</w:t>
      </w:r>
      <w:r>
        <w:t xml:space="preserve">, </w:t>
      </w:r>
      <w:r w:rsidRPr="00210EC7">
        <w:t>что</w:t>
      </w:r>
      <w:r>
        <w:t xml:space="preserve"> </w:t>
      </w:r>
      <w:r w:rsidRPr="00210EC7">
        <w:t>в</w:t>
      </w:r>
      <w:r>
        <w:t xml:space="preserve"> </w:t>
      </w:r>
      <w:r w:rsidRPr="00210EC7">
        <w:t>отдельных случаях такая субсидия выделяется учреждению на</w:t>
      </w:r>
      <w:r>
        <w:t xml:space="preserve"> </w:t>
      </w:r>
      <w:r w:rsidRPr="00210EC7">
        <w:t>приобретение основных средств</w:t>
      </w:r>
      <w:r>
        <w:t xml:space="preserve">, </w:t>
      </w:r>
      <w:r w:rsidRPr="00210EC7">
        <w:t>а</w:t>
      </w:r>
      <w:r>
        <w:t xml:space="preserve"> </w:t>
      </w:r>
      <w:r w:rsidRPr="00210EC7">
        <w:t>в</w:t>
      </w:r>
      <w:r>
        <w:t xml:space="preserve"> </w:t>
      </w:r>
      <w:r w:rsidRPr="00210EC7">
        <w:t>каких-то</w:t>
      </w:r>
      <w:r>
        <w:t xml:space="preserve"> </w:t>
      </w:r>
      <w:r w:rsidRPr="00210EC7">
        <w:t>случаях ее предоставление имеет совсем другие цели. В</w:t>
      </w:r>
      <w:r>
        <w:t xml:space="preserve"> </w:t>
      </w:r>
      <w:r w:rsidRPr="00210EC7">
        <w:t>частности</w:t>
      </w:r>
      <w:r>
        <w:t xml:space="preserve">, </w:t>
      </w:r>
      <w:r w:rsidRPr="00210EC7">
        <w:t>Порядком предоставления субсидий на</w:t>
      </w:r>
      <w:r>
        <w:t xml:space="preserve"> </w:t>
      </w:r>
      <w:r w:rsidRPr="00210EC7">
        <w:t>иные цели</w:t>
      </w:r>
      <w:r>
        <w:t xml:space="preserve">, </w:t>
      </w:r>
      <w:r w:rsidRPr="00210EC7">
        <w:t>утвержденным Приказом Минсельхоза</w:t>
      </w:r>
      <w:r>
        <w:t xml:space="preserve"> </w:t>
      </w:r>
      <w:r w:rsidRPr="00210EC7">
        <w:t>РФ от</w:t>
      </w:r>
      <w:r>
        <w:t xml:space="preserve"> </w:t>
      </w:r>
      <w:r w:rsidRPr="00210EC7">
        <w:t>17.01.2012 № 70</w:t>
      </w:r>
      <w:r>
        <w:t xml:space="preserve">, </w:t>
      </w:r>
      <w:r w:rsidRPr="00210EC7">
        <w:t>установлено</w:t>
      </w:r>
      <w:r>
        <w:t xml:space="preserve">, </w:t>
      </w:r>
      <w:r w:rsidRPr="00210EC7">
        <w:t>что</w:t>
      </w:r>
      <w:r>
        <w:t xml:space="preserve"> </w:t>
      </w:r>
      <w:r w:rsidRPr="00210EC7">
        <w:t>учреждению предоставляется целевая субсидия на</w:t>
      </w:r>
      <w:r>
        <w:t xml:space="preserve"> </w:t>
      </w:r>
      <w:r w:rsidRPr="00210EC7">
        <w:t>приобретение оборудования</w:t>
      </w:r>
      <w:r>
        <w:t xml:space="preserve">, </w:t>
      </w:r>
      <w:r w:rsidRPr="00210EC7">
        <w:t>сельскохозяйственной техники и</w:t>
      </w:r>
      <w:r>
        <w:t xml:space="preserve"> </w:t>
      </w:r>
      <w:r w:rsidRPr="00210EC7">
        <w:t>транспортных средств в</w:t>
      </w:r>
      <w:r>
        <w:t xml:space="preserve"> </w:t>
      </w:r>
      <w:r w:rsidRPr="00210EC7">
        <w:t>целях обеспечения осуществления основных видов деятельности учреждения</w:t>
      </w:r>
      <w:r>
        <w:t xml:space="preserve">, </w:t>
      </w:r>
      <w:r w:rsidRPr="00210EC7">
        <w:t>предусмотренных его уставом. Порядком предоставления субсидий на</w:t>
      </w:r>
      <w:r>
        <w:t xml:space="preserve"> </w:t>
      </w:r>
      <w:r w:rsidRPr="00210EC7">
        <w:t>иные цели</w:t>
      </w:r>
      <w:r>
        <w:t xml:space="preserve">, </w:t>
      </w:r>
      <w:r w:rsidRPr="00210EC7">
        <w:t>утвержденным Приказом Росжелдора от</w:t>
      </w:r>
      <w:r>
        <w:t xml:space="preserve"> </w:t>
      </w:r>
      <w:r w:rsidRPr="00210EC7">
        <w:t>25.01.2012 № 17</w:t>
      </w:r>
      <w:r>
        <w:t xml:space="preserve">, </w:t>
      </w:r>
      <w:r w:rsidRPr="00210EC7">
        <w:t>определено следующее. Субсидия предоставляется учреждениям в</w:t>
      </w:r>
      <w:r>
        <w:t xml:space="preserve"> </w:t>
      </w:r>
      <w:r w:rsidRPr="00210EC7">
        <w:t>том числе на</w:t>
      </w:r>
      <w:r>
        <w:t xml:space="preserve"> </w:t>
      </w:r>
      <w:r w:rsidRPr="00210EC7">
        <w:t>приобретение оборудования</w:t>
      </w:r>
      <w:r>
        <w:t xml:space="preserve">, </w:t>
      </w:r>
      <w:r w:rsidRPr="00210EC7">
        <w:t>не</w:t>
      </w:r>
      <w:r>
        <w:t xml:space="preserve"> </w:t>
      </w:r>
      <w:r w:rsidRPr="00210EC7">
        <w:t>используемого непосредственно при</w:t>
      </w:r>
      <w:r>
        <w:t xml:space="preserve"> </w:t>
      </w:r>
      <w:r w:rsidRPr="00210EC7">
        <w:t>оказании государственной услуги (выполнении работы). Постановлением администрации Коломенского муниципального района МО от</w:t>
      </w:r>
      <w:r>
        <w:t xml:space="preserve"> </w:t>
      </w:r>
      <w:r w:rsidRPr="00210EC7">
        <w:t>28.12.2011 № 2725</w:t>
      </w:r>
      <w:r>
        <w:t xml:space="preserve">, </w:t>
      </w:r>
      <w:r w:rsidRPr="00210EC7">
        <w:t>утверждающим Порядок определения объема и</w:t>
      </w:r>
      <w:r>
        <w:t xml:space="preserve"> </w:t>
      </w:r>
      <w:r w:rsidRPr="00210EC7">
        <w:t>условий предоставления из</w:t>
      </w:r>
      <w:r>
        <w:t xml:space="preserve"> </w:t>
      </w:r>
      <w:r w:rsidRPr="00210EC7">
        <w:t>бюджета Коломенского муниципального района муниципальным бюджетным и</w:t>
      </w:r>
      <w:r>
        <w:t xml:space="preserve"> </w:t>
      </w:r>
      <w:r w:rsidRPr="00210EC7">
        <w:t>автономным учреждениям Коломенского муниципального района субсидий на</w:t>
      </w:r>
      <w:r>
        <w:t xml:space="preserve"> </w:t>
      </w:r>
      <w:r w:rsidRPr="00210EC7">
        <w:t>иные цели</w:t>
      </w:r>
      <w:r>
        <w:t xml:space="preserve">, </w:t>
      </w:r>
      <w:r w:rsidRPr="00210EC7">
        <w:t>установлено</w:t>
      </w:r>
      <w:r>
        <w:t xml:space="preserve">, </w:t>
      </w:r>
      <w:r w:rsidRPr="00210EC7">
        <w:t>что</w:t>
      </w:r>
      <w:r>
        <w:t xml:space="preserve"> </w:t>
      </w:r>
      <w:r w:rsidRPr="00210EC7">
        <w:t>средства субсидий могут быть потрачены на</w:t>
      </w:r>
      <w:r>
        <w:t xml:space="preserve"> </w:t>
      </w:r>
      <w:r w:rsidRPr="00210EC7">
        <w:t>приобретение основных средств</w:t>
      </w:r>
      <w:r>
        <w:t xml:space="preserve">, </w:t>
      </w:r>
      <w:r w:rsidRPr="00210EC7">
        <w:t>не</w:t>
      </w:r>
      <w:r>
        <w:t xml:space="preserve"> </w:t>
      </w:r>
      <w:r w:rsidRPr="00210EC7">
        <w:t>включаемых в</w:t>
      </w:r>
      <w:r>
        <w:t xml:space="preserve"> </w:t>
      </w:r>
      <w:r w:rsidRPr="00210EC7">
        <w:t>нормативные затраты на</w:t>
      </w:r>
      <w:r>
        <w:t xml:space="preserve"> </w:t>
      </w:r>
      <w:r w:rsidRPr="00210EC7">
        <w:t>оказание муниципальных услуг Коломенского муниципального района.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Таким образом</w:t>
      </w:r>
      <w:r>
        <w:t xml:space="preserve">, </w:t>
      </w:r>
      <w:r w:rsidRPr="00210EC7">
        <w:t>если субсидия на</w:t>
      </w:r>
      <w:r>
        <w:t xml:space="preserve"> </w:t>
      </w:r>
      <w:r w:rsidRPr="00210EC7">
        <w:t>иные цели выделяется на</w:t>
      </w:r>
      <w:r>
        <w:t xml:space="preserve"> </w:t>
      </w:r>
      <w:r w:rsidRPr="00210EC7">
        <w:t>приобретение основных средств</w:t>
      </w:r>
      <w:r>
        <w:t xml:space="preserve">, </w:t>
      </w:r>
      <w:r w:rsidRPr="00210EC7">
        <w:t>учреждение обязано эти основные средства приобрести. Здесь</w:t>
      </w:r>
      <w:r>
        <w:t xml:space="preserve"> </w:t>
      </w:r>
      <w:r w:rsidRPr="00210EC7">
        <w:t>же хотелось</w:t>
      </w:r>
      <w:r>
        <w:t xml:space="preserve"> </w:t>
      </w:r>
      <w:r w:rsidRPr="00210EC7">
        <w:t>бы рассмотреть следующий вопрос. Вправе учреждение закупать основные средства за</w:t>
      </w:r>
      <w:r>
        <w:t xml:space="preserve"> </w:t>
      </w:r>
      <w:r w:rsidRPr="00210EC7">
        <w:t>счет сумм субсидий</w:t>
      </w:r>
      <w:r>
        <w:t xml:space="preserve">, </w:t>
      </w:r>
      <w:r w:rsidRPr="00210EC7">
        <w:t>выделенных ему на</w:t>
      </w:r>
      <w:r>
        <w:t xml:space="preserve"> </w:t>
      </w:r>
      <w:r w:rsidRPr="00210EC7">
        <w:t>возмещение нормативных затрат</w:t>
      </w:r>
      <w:r>
        <w:t xml:space="preserve">, </w:t>
      </w:r>
      <w:r w:rsidRPr="00210EC7">
        <w:t>по</w:t>
      </w:r>
      <w:r>
        <w:t xml:space="preserve"> </w:t>
      </w:r>
      <w:r w:rsidRPr="00210EC7">
        <w:t>заданию учредителя или</w:t>
      </w:r>
      <w:r>
        <w:t xml:space="preserve"> </w:t>
      </w:r>
      <w:r w:rsidRPr="00210EC7">
        <w:t>основные средства могут приобретаться учреждением только за</w:t>
      </w:r>
      <w:r>
        <w:t xml:space="preserve"> </w:t>
      </w:r>
      <w:r w:rsidRPr="00210EC7">
        <w:t>счет сумм субсидий на</w:t>
      </w:r>
      <w:r>
        <w:t xml:space="preserve"> </w:t>
      </w:r>
      <w:r w:rsidRPr="00210EC7">
        <w:t>иные цели и</w:t>
      </w:r>
      <w:r>
        <w:t xml:space="preserve"> </w:t>
      </w:r>
      <w:r w:rsidRPr="00210EC7">
        <w:t>за</w:t>
      </w:r>
      <w:r>
        <w:t xml:space="preserve"> </w:t>
      </w:r>
      <w:r w:rsidRPr="00210EC7">
        <w:t>счет бюджетных инвестиций? Ведь если посмотреть хотя</w:t>
      </w:r>
      <w:r>
        <w:t xml:space="preserve"> </w:t>
      </w:r>
      <w:r w:rsidRPr="00210EC7">
        <w:t>бы на</w:t>
      </w:r>
      <w:r>
        <w:t xml:space="preserve"> </w:t>
      </w:r>
      <w:r w:rsidRPr="00210EC7">
        <w:t>те нормативные акты</w:t>
      </w:r>
      <w:r>
        <w:t xml:space="preserve">, </w:t>
      </w:r>
      <w:r w:rsidRPr="00210EC7">
        <w:t>которые упомянуты нами чуть выше</w:t>
      </w:r>
      <w:r>
        <w:t xml:space="preserve">, </w:t>
      </w:r>
      <w:r w:rsidRPr="00210EC7">
        <w:t>видно</w:t>
      </w:r>
      <w:r>
        <w:t xml:space="preserve">, </w:t>
      </w:r>
      <w:r w:rsidRPr="00210EC7">
        <w:t>что</w:t>
      </w:r>
      <w:r>
        <w:t xml:space="preserve"> </w:t>
      </w:r>
      <w:r w:rsidRPr="00210EC7">
        <w:t>в</w:t>
      </w:r>
      <w:r>
        <w:t xml:space="preserve"> </w:t>
      </w:r>
      <w:r w:rsidRPr="00210EC7">
        <w:t>каких-то</w:t>
      </w:r>
      <w:r>
        <w:t xml:space="preserve"> </w:t>
      </w:r>
      <w:r w:rsidRPr="00210EC7">
        <w:t>случаях основные средства приобретаются за</w:t>
      </w:r>
      <w:r>
        <w:t xml:space="preserve"> </w:t>
      </w:r>
      <w:r w:rsidRPr="00210EC7">
        <w:t>счет субсидий на</w:t>
      </w:r>
      <w:r>
        <w:t xml:space="preserve"> </w:t>
      </w:r>
      <w:r w:rsidRPr="00210EC7">
        <w:t>иные цели для</w:t>
      </w:r>
      <w:r>
        <w:t xml:space="preserve"> </w:t>
      </w:r>
      <w:r w:rsidRPr="00210EC7">
        <w:t>выполнения задания учредителя</w:t>
      </w:r>
      <w:r>
        <w:t xml:space="preserve">, </w:t>
      </w:r>
      <w:r w:rsidRPr="00210EC7">
        <w:t>а</w:t>
      </w:r>
      <w:r>
        <w:t xml:space="preserve"> </w:t>
      </w:r>
      <w:r w:rsidRPr="00210EC7">
        <w:t>в</w:t>
      </w:r>
      <w:r>
        <w:t xml:space="preserve"> </w:t>
      </w:r>
      <w:r w:rsidRPr="00210EC7">
        <w:t>каких-то</w:t>
      </w:r>
      <w:r>
        <w:t xml:space="preserve"> </w:t>
      </w:r>
      <w:r w:rsidRPr="00210EC7">
        <w:t>– для</w:t>
      </w:r>
      <w:r>
        <w:t xml:space="preserve"> </w:t>
      </w:r>
      <w:r w:rsidRPr="00210EC7">
        <w:t>деятельности</w:t>
      </w:r>
      <w:r>
        <w:t xml:space="preserve">, </w:t>
      </w:r>
      <w:r w:rsidRPr="00210EC7">
        <w:t>не</w:t>
      </w:r>
      <w:r>
        <w:t xml:space="preserve"> </w:t>
      </w:r>
      <w:r w:rsidRPr="00210EC7">
        <w:t>связанной с</w:t>
      </w:r>
      <w:r>
        <w:t xml:space="preserve"> </w:t>
      </w:r>
      <w:r w:rsidRPr="00210EC7">
        <w:t>выполнением задания учредителя. Попробуем ответить на</w:t>
      </w:r>
      <w:r>
        <w:t xml:space="preserve"> </w:t>
      </w:r>
      <w:r w:rsidRPr="00210EC7">
        <w:t>поставленный вопрос</w:t>
      </w:r>
      <w:r>
        <w:t xml:space="preserve">, </w:t>
      </w:r>
      <w:r w:rsidRPr="00210EC7">
        <w:t>обратившись к</w:t>
      </w:r>
      <w:r>
        <w:t xml:space="preserve"> </w:t>
      </w:r>
      <w:r w:rsidRPr="00210EC7">
        <w:t>правилам финансового обеспечения выполнения задания учредителя.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Согласно нормам ст.</w:t>
      </w:r>
      <w:r>
        <w:t xml:space="preserve"> </w:t>
      </w:r>
      <w:r w:rsidRPr="00210EC7">
        <w:t>9.2 Федерального закона от</w:t>
      </w:r>
      <w:r>
        <w:t xml:space="preserve"> </w:t>
      </w:r>
      <w:r w:rsidRPr="00210EC7">
        <w:t>12.01.1996 № 7-ФЗ «О</w:t>
      </w:r>
      <w:r>
        <w:t xml:space="preserve"> </w:t>
      </w:r>
      <w:r w:rsidRPr="00210EC7">
        <w:t>некоммерческих организациях»</w:t>
      </w:r>
      <w:r>
        <w:t xml:space="preserve">, </w:t>
      </w:r>
      <w:r w:rsidRPr="00210EC7">
        <w:t>п.</w:t>
      </w:r>
      <w:r>
        <w:t xml:space="preserve"> </w:t>
      </w:r>
      <w:r w:rsidRPr="00210EC7">
        <w:t>10 Порядка формирования государственного задания в</w:t>
      </w:r>
      <w:r>
        <w:t xml:space="preserve"> </w:t>
      </w:r>
      <w:r w:rsidRPr="00210EC7">
        <w:t>отношении федеральных государственных учреждений и</w:t>
      </w:r>
      <w:r>
        <w:t xml:space="preserve"> </w:t>
      </w:r>
      <w:r w:rsidRPr="00210EC7">
        <w:t>финансового обеспечения выполнения государственного задания</w:t>
      </w:r>
      <w:r>
        <w:t xml:space="preserve">, </w:t>
      </w:r>
      <w:r w:rsidRPr="00210EC7">
        <w:t>утвержденного Постановлением Правительства</w:t>
      </w:r>
      <w:r>
        <w:t xml:space="preserve"> </w:t>
      </w:r>
      <w:r w:rsidRPr="00210EC7">
        <w:t>РФ от</w:t>
      </w:r>
      <w:r>
        <w:t xml:space="preserve"> </w:t>
      </w:r>
      <w:r w:rsidRPr="00210EC7">
        <w:t>02.09.2010 № 671</w:t>
      </w:r>
      <w:r>
        <w:t xml:space="preserve">, </w:t>
      </w:r>
      <w:r w:rsidRPr="00210EC7">
        <w:t>финансовое обеспечение выполнения государственного (муниципального) задания бюджетным учреждением осуществляется в</w:t>
      </w:r>
      <w:r>
        <w:t xml:space="preserve"> </w:t>
      </w:r>
      <w:r w:rsidRPr="00210EC7">
        <w:t>виде субсидий из</w:t>
      </w:r>
      <w:r>
        <w:t xml:space="preserve"> </w:t>
      </w:r>
      <w:r w:rsidRPr="00210EC7">
        <w:t>соответствующего бюджета бюджетной системы</w:t>
      </w:r>
      <w:r>
        <w:t xml:space="preserve"> </w:t>
      </w:r>
      <w:r w:rsidRPr="00210EC7">
        <w:t>РФ с</w:t>
      </w:r>
      <w:r>
        <w:t xml:space="preserve"> </w:t>
      </w:r>
      <w:r w:rsidRPr="00210EC7">
        <w:t>учетом расходов на</w:t>
      </w:r>
      <w:r>
        <w:t xml:space="preserve"> </w:t>
      </w:r>
      <w:r w:rsidRPr="00210EC7">
        <w:t>содержание недвижимого и</w:t>
      </w:r>
      <w:r>
        <w:t xml:space="preserve"> </w:t>
      </w:r>
      <w:r w:rsidRPr="00210EC7">
        <w:t>особо ценного движимого имущества</w:t>
      </w:r>
      <w:r>
        <w:t xml:space="preserve">, </w:t>
      </w:r>
      <w:r w:rsidRPr="00210EC7">
        <w:t>закрепленного за</w:t>
      </w:r>
      <w:r>
        <w:t xml:space="preserve"> </w:t>
      </w:r>
      <w:r w:rsidRPr="00210EC7">
        <w:t>бюджетным учреждением учредителем или</w:t>
      </w:r>
      <w:r>
        <w:t xml:space="preserve"> </w:t>
      </w:r>
      <w:r w:rsidRPr="00210EC7">
        <w:t>приобретенного бюджетным учреждением за</w:t>
      </w:r>
      <w:r>
        <w:t xml:space="preserve"> </w:t>
      </w:r>
      <w:r w:rsidRPr="00210EC7">
        <w:t>счет средств</w:t>
      </w:r>
      <w:r>
        <w:t xml:space="preserve">, </w:t>
      </w:r>
      <w:r w:rsidRPr="00210EC7">
        <w:t>выделенных ему учредителем на</w:t>
      </w:r>
      <w:r>
        <w:t xml:space="preserve"> </w:t>
      </w:r>
      <w:r w:rsidRPr="00210EC7">
        <w:t>приобретение такого имущества</w:t>
      </w:r>
      <w:r>
        <w:t xml:space="preserve">, </w:t>
      </w:r>
      <w:r w:rsidRPr="00210EC7">
        <w:t>расходов на</w:t>
      </w:r>
      <w:r>
        <w:t xml:space="preserve"> </w:t>
      </w:r>
      <w:r w:rsidRPr="00210EC7">
        <w:t>уплату налогов</w:t>
      </w:r>
      <w:r>
        <w:t xml:space="preserve">, </w:t>
      </w:r>
      <w:r w:rsidRPr="00210EC7">
        <w:t>в</w:t>
      </w:r>
      <w:r>
        <w:t xml:space="preserve"> </w:t>
      </w:r>
      <w:r w:rsidRPr="00210EC7">
        <w:t>качестве объекта обложения которыми признается соответствующее имущество</w:t>
      </w:r>
      <w:r>
        <w:t xml:space="preserve">, </w:t>
      </w:r>
      <w:r w:rsidRPr="00210EC7">
        <w:t>в</w:t>
      </w:r>
      <w:r>
        <w:t xml:space="preserve"> </w:t>
      </w:r>
      <w:r w:rsidRPr="00210EC7">
        <w:t>том числе земельные участки.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случае сдачи в</w:t>
      </w:r>
      <w:r>
        <w:t xml:space="preserve"> </w:t>
      </w:r>
      <w:r w:rsidRPr="00210EC7">
        <w:t>аренду с</w:t>
      </w:r>
      <w:r>
        <w:t xml:space="preserve"> </w:t>
      </w:r>
      <w:r w:rsidRPr="00210EC7">
        <w:t>согласия учредителя недвижимого и</w:t>
      </w:r>
      <w:r>
        <w:t xml:space="preserve"> </w:t>
      </w:r>
      <w:r w:rsidRPr="00210EC7">
        <w:t>особо ценного движимого имущества</w:t>
      </w:r>
      <w:r>
        <w:t xml:space="preserve">, </w:t>
      </w:r>
      <w:r w:rsidRPr="00210EC7">
        <w:t>закрепленного за</w:t>
      </w:r>
      <w:r>
        <w:t xml:space="preserve"> </w:t>
      </w:r>
      <w:r w:rsidRPr="00210EC7">
        <w:t>бюджетным учреждением учредителем или</w:t>
      </w:r>
      <w:r>
        <w:t xml:space="preserve"> </w:t>
      </w:r>
      <w:r w:rsidRPr="00210EC7">
        <w:t>приобретенного бюджетным учреждением за</w:t>
      </w:r>
      <w:r>
        <w:t xml:space="preserve"> </w:t>
      </w:r>
      <w:r w:rsidRPr="00210EC7">
        <w:t>счет средств</w:t>
      </w:r>
      <w:r>
        <w:t xml:space="preserve">, </w:t>
      </w:r>
      <w:r w:rsidRPr="00210EC7">
        <w:t>выделенных ему учредителем на</w:t>
      </w:r>
      <w:r>
        <w:t xml:space="preserve"> </w:t>
      </w:r>
      <w:r w:rsidRPr="00210EC7">
        <w:t>приобретение такого имущества</w:t>
      </w:r>
      <w:r>
        <w:t xml:space="preserve">, </w:t>
      </w:r>
      <w:r w:rsidRPr="00210EC7">
        <w:t>финансовое обеспечение содержания такого имущества учредителем не</w:t>
      </w:r>
      <w:r>
        <w:t xml:space="preserve"> </w:t>
      </w:r>
      <w:r w:rsidRPr="00210EC7">
        <w:t>осуществляется.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То</w:t>
      </w:r>
      <w:r>
        <w:t xml:space="preserve"> </w:t>
      </w:r>
      <w:r w:rsidRPr="00210EC7">
        <w:t>есть учредитель исходя их</w:t>
      </w:r>
      <w:r>
        <w:t xml:space="preserve"> </w:t>
      </w:r>
      <w:r w:rsidRPr="00210EC7">
        <w:t>методики определения норматива затрат на</w:t>
      </w:r>
      <w:r>
        <w:t xml:space="preserve"> </w:t>
      </w:r>
      <w:r w:rsidRPr="00210EC7">
        <w:t>одну единицу услуги (работы) и</w:t>
      </w:r>
      <w:r>
        <w:t xml:space="preserve"> </w:t>
      </w:r>
      <w:r w:rsidRPr="00210EC7">
        <w:t>объема услуг (работ)</w:t>
      </w:r>
      <w:r>
        <w:t xml:space="preserve">, </w:t>
      </w:r>
      <w:r w:rsidRPr="00210EC7">
        <w:t>которые учреждение должно оказать в</w:t>
      </w:r>
      <w:r>
        <w:t xml:space="preserve"> </w:t>
      </w:r>
      <w:r w:rsidRPr="00210EC7">
        <w:t>планируемом периоде</w:t>
      </w:r>
      <w:r>
        <w:t xml:space="preserve">, </w:t>
      </w:r>
      <w:r w:rsidRPr="00210EC7">
        <w:t>определяет размер субсидий. Далее учреждение распределяет сумму субсидии по</w:t>
      </w:r>
      <w:r>
        <w:t xml:space="preserve"> </w:t>
      </w:r>
      <w:r w:rsidRPr="00210EC7">
        <w:t>своему усмотрению.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отношении бюджетных учреждений органом власти</w:t>
      </w:r>
      <w:r>
        <w:t xml:space="preserve">, </w:t>
      </w:r>
      <w:r w:rsidRPr="00210EC7">
        <w:t>выполняющим функции учредителя</w:t>
      </w:r>
      <w:r>
        <w:t xml:space="preserve">, </w:t>
      </w:r>
      <w:r w:rsidRPr="00210EC7">
        <w:t>разрабатывается и</w:t>
      </w:r>
      <w:r>
        <w:t xml:space="preserve"> </w:t>
      </w:r>
      <w:r w:rsidRPr="00210EC7">
        <w:t>утверждается (закрепляется нормативным актом) порядок определения нормативных затрат на</w:t>
      </w:r>
      <w:r>
        <w:t xml:space="preserve"> </w:t>
      </w:r>
      <w:r w:rsidRPr="00210EC7">
        <w:t>оказание услуг (выполнение работ) и</w:t>
      </w:r>
      <w:r>
        <w:t xml:space="preserve"> </w:t>
      </w:r>
      <w:r w:rsidRPr="00210EC7">
        <w:t>содержание имущества. Анализ таких нормативных актов показывает</w:t>
      </w:r>
      <w:r>
        <w:t xml:space="preserve">, </w:t>
      </w:r>
      <w:r w:rsidRPr="00210EC7">
        <w:t>что</w:t>
      </w:r>
      <w:r>
        <w:t xml:space="preserve">, </w:t>
      </w:r>
      <w:r w:rsidRPr="00210EC7">
        <w:t>как</w:t>
      </w:r>
      <w:r>
        <w:t xml:space="preserve"> </w:t>
      </w:r>
      <w:r w:rsidRPr="00210EC7">
        <w:t>правило</w:t>
      </w:r>
      <w:r>
        <w:t xml:space="preserve">, </w:t>
      </w:r>
      <w:r w:rsidRPr="00210EC7">
        <w:t>при</w:t>
      </w:r>
      <w:r>
        <w:t xml:space="preserve"> </w:t>
      </w:r>
      <w:r w:rsidRPr="00210EC7">
        <w:t>расчете нормативных затрат на</w:t>
      </w:r>
      <w:r>
        <w:t xml:space="preserve"> </w:t>
      </w:r>
      <w:r w:rsidRPr="00210EC7">
        <w:t>оказание единицы услуги (работы) учредителем не</w:t>
      </w:r>
      <w:r>
        <w:t xml:space="preserve"> </w:t>
      </w:r>
      <w:r w:rsidRPr="00210EC7">
        <w:t>учитывается стоимость основных средств. Например</w:t>
      </w:r>
      <w:r>
        <w:t xml:space="preserve">, </w:t>
      </w:r>
      <w:r w:rsidRPr="00210EC7">
        <w:t>Порядок определения нормативных затрат на</w:t>
      </w:r>
      <w:r>
        <w:t xml:space="preserve"> </w:t>
      </w:r>
      <w:r w:rsidRPr="00210EC7">
        <w:t>оказание государственной услуги и</w:t>
      </w:r>
      <w:r>
        <w:t xml:space="preserve"> </w:t>
      </w:r>
      <w:r w:rsidRPr="00210EC7">
        <w:t>нормативных затрат на</w:t>
      </w:r>
      <w:r>
        <w:t xml:space="preserve"> </w:t>
      </w:r>
      <w:r w:rsidRPr="00210EC7">
        <w:t>содержание имущества федеральных государственных учреждений</w:t>
      </w:r>
      <w:r>
        <w:t xml:space="preserve">, </w:t>
      </w:r>
      <w:r w:rsidRPr="00210EC7">
        <w:t>в</w:t>
      </w:r>
      <w:r>
        <w:t xml:space="preserve"> </w:t>
      </w:r>
      <w:r w:rsidRPr="00210EC7">
        <w:t>отношении которых функции и</w:t>
      </w:r>
      <w:r>
        <w:t xml:space="preserve"> </w:t>
      </w:r>
      <w:r w:rsidRPr="00210EC7">
        <w:t>полномочия учредителя осуществляет Федеральное агентство морского и</w:t>
      </w:r>
      <w:r>
        <w:t xml:space="preserve"> </w:t>
      </w:r>
      <w:r w:rsidRPr="00210EC7">
        <w:t>речного транспорта[1] не</w:t>
      </w:r>
      <w:r>
        <w:t xml:space="preserve"> </w:t>
      </w:r>
      <w:r w:rsidRPr="00210EC7">
        <w:t>предусматривает включение стоимости основных средств в</w:t>
      </w:r>
      <w:r>
        <w:t xml:space="preserve"> </w:t>
      </w:r>
      <w:r w:rsidRPr="00210EC7">
        <w:t>расчет норматива затрат. Росморречфлот предполагает</w:t>
      </w:r>
      <w:r>
        <w:t xml:space="preserve">, </w:t>
      </w:r>
      <w:r w:rsidRPr="00210EC7">
        <w:t>что</w:t>
      </w:r>
      <w:r>
        <w:t xml:space="preserve"> </w:t>
      </w:r>
      <w:r w:rsidRPr="00210EC7">
        <w:t>при</w:t>
      </w:r>
      <w:r>
        <w:t xml:space="preserve"> </w:t>
      </w:r>
      <w:r w:rsidRPr="00210EC7">
        <w:t>расчете нормативных затрат следует учитывать лишь затраты на</w:t>
      </w:r>
      <w:r>
        <w:t xml:space="preserve"> </w:t>
      </w:r>
      <w:r w:rsidRPr="00210EC7">
        <w:t>техническое обслуживание оборудования</w:t>
      </w:r>
      <w:r>
        <w:t xml:space="preserve">, </w:t>
      </w:r>
      <w:r w:rsidRPr="00210EC7">
        <w:t>непосредственно используемого в</w:t>
      </w:r>
      <w:r>
        <w:t xml:space="preserve"> </w:t>
      </w:r>
      <w:r w:rsidRPr="00210EC7">
        <w:t>оказании государственной услуги. В</w:t>
      </w:r>
      <w:r>
        <w:t xml:space="preserve"> </w:t>
      </w:r>
      <w:r w:rsidRPr="00210EC7">
        <w:t>свою очередь</w:t>
      </w:r>
      <w:r>
        <w:t xml:space="preserve">, </w:t>
      </w:r>
      <w:r w:rsidRPr="00210EC7">
        <w:t>Порядок определения нормативных затрат на</w:t>
      </w:r>
      <w:r>
        <w:t xml:space="preserve"> </w:t>
      </w:r>
      <w:r w:rsidRPr="00210EC7">
        <w:t>оказание образовательными</w:t>
      </w:r>
      <w:r>
        <w:t xml:space="preserve">, </w:t>
      </w:r>
      <w:r w:rsidRPr="00210EC7">
        <w:t>научно-исследовательскими и</w:t>
      </w:r>
      <w:r>
        <w:t xml:space="preserve"> </w:t>
      </w:r>
      <w:r w:rsidRPr="00210EC7">
        <w:t>иными учреждениями в</w:t>
      </w:r>
      <w:r>
        <w:t xml:space="preserve"> </w:t>
      </w:r>
      <w:r w:rsidRPr="00210EC7">
        <w:t>сфере культуры</w:t>
      </w:r>
      <w:r>
        <w:t xml:space="preserve">, </w:t>
      </w:r>
      <w:r w:rsidRPr="00210EC7">
        <w:t>имеющими лицензию на</w:t>
      </w:r>
      <w:r>
        <w:t xml:space="preserve"> </w:t>
      </w:r>
      <w:r w:rsidRPr="00210EC7">
        <w:t>право ведения образовательной деятельности</w:t>
      </w:r>
      <w:r>
        <w:t xml:space="preserve">, </w:t>
      </w:r>
      <w:r w:rsidRPr="00210EC7">
        <w:t>подведомственными Минкультуры</w:t>
      </w:r>
      <w:r>
        <w:t xml:space="preserve"> </w:t>
      </w:r>
      <w:r w:rsidRPr="00210EC7">
        <w:t>РФ</w:t>
      </w:r>
      <w:r>
        <w:t xml:space="preserve">, </w:t>
      </w:r>
      <w:r w:rsidRPr="00210EC7">
        <w:t>государственных услуг (работ) и</w:t>
      </w:r>
      <w:r>
        <w:t xml:space="preserve"> </w:t>
      </w:r>
      <w:r w:rsidRPr="00210EC7">
        <w:t>нормативных затрат на</w:t>
      </w:r>
      <w:r>
        <w:t xml:space="preserve"> </w:t>
      </w:r>
      <w:r w:rsidRPr="00210EC7">
        <w:t>содержание их</w:t>
      </w:r>
      <w:r>
        <w:t xml:space="preserve"> </w:t>
      </w:r>
      <w:r w:rsidRPr="00210EC7">
        <w:t>имущества[2] предусматривает учет в</w:t>
      </w:r>
      <w:r>
        <w:t xml:space="preserve"> </w:t>
      </w:r>
      <w:r w:rsidRPr="00210EC7">
        <w:t>расчете нормативных затрат стоимости основных средств. Нормативный акт</w:t>
      </w:r>
      <w:r>
        <w:t xml:space="preserve">, </w:t>
      </w:r>
      <w:r w:rsidRPr="00210EC7">
        <w:t>который</w:t>
      </w:r>
      <w:r>
        <w:t xml:space="preserve"> </w:t>
      </w:r>
      <w:r w:rsidRPr="00210EC7">
        <w:t>бы совершал некую «увязку» между расчетом нормативных затрат на</w:t>
      </w:r>
      <w:r>
        <w:t xml:space="preserve"> </w:t>
      </w:r>
      <w:r w:rsidRPr="00210EC7">
        <w:t>услуги (работы) и</w:t>
      </w:r>
      <w:r>
        <w:t xml:space="preserve"> </w:t>
      </w:r>
      <w:r w:rsidRPr="00210EC7">
        <w:t>направлениями распределения субсидий</w:t>
      </w:r>
      <w:r>
        <w:t xml:space="preserve">, </w:t>
      </w:r>
      <w:r w:rsidRPr="00210EC7">
        <w:t>отсутствует. Более того</w:t>
      </w:r>
      <w:r>
        <w:t xml:space="preserve">, </w:t>
      </w:r>
      <w:r w:rsidRPr="00210EC7">
        <w:t>чиновники</w:t>
      </w:r>
      <w:r>
        <w:t xml:space="preserve">, </w:t>
      </w:r>
      <w:r w:rsidRPr="00210EC7">
        <w:t>давая разъяснения по</w:t>
      </w:r>
      <w:r>
        <w:t xml:space="preserve"> </w:t>
      </w:r>
      <w:r w:rsidRPr="00210EC7">
        <w:t>этому вопросу</w:t>
      </w:r>
      <w:r>
        <w:t xml:space="preserve">, </w:t>
      </w:r>
      <w:r w:rsidRPr="00210EC7">
        <w:t>говорят</w:t>
      </w:r>
      <w:r>
        <w:t xml:space="preserve">, </w:t>
      </w:r>
      <w:r w:rsidRPr="00210EC7">
        <w:t>что</w:t>
      </w:r>
      <w:r>
        <w:t xml:space="preserve"> </w:t>
      </w:r>
      <w:r w:rsidRPr="00210EC7">
        <w:t>ориентироваться на</w:t>
      </w:r>
      <w:r>
        <w:t xml:space="preserve"> </w:t>
      </w:r>
      <w:r w:rsidRPr="00210EC7">
        <w:t>методику расчета нормативных затрат учреждению при</w:t>
      </w:r>
      <w:r>
        <w:t xml:space="preserve"> </w:t>
      </w:r>
      <w:r w:rsidRPr="00210EC7">
        <w:t>распределении субсидий не</w:t>
      </w:r>
      <w:r>
        <w:t xml:space="preserve"> </w:t>
      </w:r>
      <w:r w:rsidRPr="00210EC7">
        <w:t>нужно. Учреждение свободно в</w:t>
      </w:r>
      <w:r>
        <w:t xml:space="preserve"> </w:t>
      </w:r>
      <w:r w:rsidRPr="00210EC7">
        <w:t>расходовании данных средств. Одновременно чиновники указывают</w:t>
      </w:r>
      <w:r>
        <w:t xml:space="preserve">, </w:t>
      </w:r>
      <w:r w:rsidRPr="00210EC7">
        <w:t>что</w:t>
      </w:r>
      <w:r>
        <w:t xml:space="preserve"> </w:t>
      </w:r>
      <w:r w:rsidRPr="00210EC7">
        <w:t>расходовать субсидии</w:t>
      </w:r>
      <w:r>
        <w:t xml:space="preserve">, </w:t>
      </w:r>
      <w:r w:rsidRPr="00210EC7">
        <w:t>выделенные учредителем на</w:t>
      </w:r>
      <w:r>
        <w:t xml:space="preserve"> </w:t>
      </w:r>
      <w:r w:rsidRPr="00210EC7">
        <w:t>возмещение нормативных затрат</w:t>
      </w:r>
      <w:r>
        <w:t xml:space="preserve">, </w:t>
      </w:r>
      <w:r w:rsidRPr="00210EC7">
        <w:t>на</w:t>
      </w:r>
      <w:r>
        <w:t xml:space="preserve"> </w:t>
      </w:r>
      <w:r w:rsidRPr="00210EC7">
        <w:t>приобретение основных средств нельзя</w:t>
      </w:r>
      <w:r>
        <w:t xml:space="preserve">, </w:t>
      </w:r>
      <w:r w:rsidRPr="00210EC7">
        <w:t>даже если эти основные средства в</w:t>
      </w:r>
      <w:r>
        <w:t xml:space="preserve"> </w:t>
      </w:r>
      <w:r w:rsidRPr="00210EC7">
        <w:t>дальнейшем будут использоваться для</w:t>
      </w:r>
      <w:r>
        <w:t xml:space="preserve"> </w:t>
      </w:r>
      <w:r w:rsidRPr="00210EC7">
        <w:t>выполнения задания учредителя. По</w:t>
      </w:r>
      <w:r>
        <w:t xml:space="preserve"> </w:t>
      </w:r>
      <w:r w:rsidRPr="00210EC7">
        <w:t>нашему мнению</w:t>
      </w:r>
      <w:r>
        <w:t xml:space="preserve">, </w:t>
      </w:r>
      <w:r w:rsidRPr="00210EC7">
        <w:t>приобретение основных средств за</w:t>
      </w:r>
      <w:r>
        <w:t xml:space="preserve"> </w:t>
      </w:r>
      <w:r w:rsidRPr="00210EC7">
        <w:t>счет сумм субсидий</w:t>
      </w:r>
      <w:r>
        <w:t xml:space="preserve">, </w:t>
      </w:r>
      <w:r w:rsidRPr="00210EC7">
        <w:t>выделенных учреждению на</w:t>
      </w:r>
      <w:r>
        <w:t xml:space="preserve"> </w:t>
      </w:r>
      <w:r w:rsidRPr="00210EC7">
        <w:t>выполнение задания учредителя</w:t>
      </w:r>
      <w:r>
        <w:t xml:space="preserve">, </w:t>
      </w:r>
      <w:r w:rsidRPr="00210EC7">
        <w:t>возможно</w:t>
      </w:r>
      <w:r>
        <w:t xml:space="preserve">, </w:t>
      </w:r>
      <w:r w:rsidRPr="00210EC7">
        <w:t>в</w:t>
      </w:r>
      <w:r>
        <w:t xml:space="preserve"> </w:t>
      </w:r>
      <w:r w:rsidRPr="00210EC7">
        <w:t>случае если это предусмотрено методикой расчета нормативных затрат. Учреждение может аргументировать совершение данной операции (приобретение основных средств) не</w:t>
      </w:r>
      <w:r>
        <w:t xml:space="preserve"> </w:t>
      </w:r>
      <w:r w:rsidRPr="00210EC7">
        <w:t>только необходимостью этих основных средств для</w:t>
      </w:r>
      <w:r>
        <w:t xml:space="preserve"> </w:t>
      </w:r>
      <w:r w:rsidRPr="00210EC7">
        <w:t>выполнения задания учредителя (при</w:t>
      </w:r>
      <w:r>
        <w:t xml:space="preserve"> </w:t>
      </w:r>
      <w:r w:rsidRPr="00210EC7">
        <w:t>условии</w:t>
      </w:r>
      <w:r>
        <w:t xml:space="preserve">, </w:t>
      </w:r>
      <w:r w:rsidRPr="00210EC7">
        <w:t>что</w:t>
      </w:r>
      <w:r>
        <w:t xml:space="preserve"> </w:t>
      </w:r>
      <w:r w:rsidRPr="00210EC7">
        <w:t>учредителем не</w:t>
      </w:r>
      <w:r>
        <w:t xml:space="preserve"> </w:t>
      </w:r>
      <w:r w:rsidRPr="00210EC7">
        <w:t>выделяются денежные средства на</w:t>
      </w:r>
      <w:r>
        <w:t xml:space="preserve"> </w:t>
      </w:r>
      <w:r w:rsidRPr="00210EC7">
        <w:t>приобретение этих основных средств по</w:t>
      </w:r>
      <w:r>
        <w:t xml:space="preserve"> </w:t>
      </w:r>
      <w:r w:rsidRPr="00210EC7">
        <w:t>целевой субсидии)</w:t>
      </w:r>
      <w:r>
        <w:t xml:space="preserve">, </w:t>
      </w:r>
      <w:r w:rsidRPr="00210EC7">
        <w:t>но</w:t>
      </w:r>
      <w:r>
        <w:t xml:space="preserve"> </w:t>
      </w:r>
      <w:r w:rsidRPr="00210EC7">
        <w:t>и</w:t>
      </w:r>
      <w:r>
        <w:t xml:space="preserve"> </w:t>
      </w:r>
      <w:r w:rsidRPr="00210EC7">
        <w:t>тем</w:t>
      </w:r>
      <w:r>
        <w:t xml:space="preserve">, </w:t>
      </w:r>
      <w:r w:rsidRPr="00210EC7">
        <w:t>что</w:t>
      </w:r>
      <w:r>
        <w:t xml:space="preserve"> </w:t>
      </w:r>
      <w:r w:rsidRPr="00210EC7">
        <w:t>изначально такие расходы были включены учредителем в</w:t>
      </w:r>
      <w:r>
        <w:t xml:space="preserve"> </w:t>
      </w:r>
      <w:r w:rsidRPr="00210EC7">
        <w:t>себестоимость единицы услуги (работы).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Как</w:t>
      </w:r>
      <w:r>
        <w:t xml:space="preserve"> </w:t>
      </w:r>
      <w:r w:rsidRPr="00210EC7">
        <w:t>мы говорили выше</w:t>
      </w:r>
      <w:r>
        <w:t xml:space="preserve">, </w:t>
      </w:r>
      <w:r w:rsidRPr="00210EC7">
        <w:t>расходы на</w:t>
      </w:r>
      <w:r>
        <w:t xml:space="preserve"> </w:t>
      </w:r>
      <w:r w:rsidRPr="00210EC7">
        <w:t>содержание недвижимого и</w:t>
      </w:r>
      <w:r>
        <w:t xml:space="preserve"> </w:t>
      </w:r>
      <w:r w:rsidRPr="00210EC7">
        <w:t>особо ценного движимого имущества</w:t>
      </w:r>
      <w:r>
        <w:t xml:space="preserve">, </w:t>
      </w:r>
      <w:r w:rsidRPr="00210EC7">
        <w:t>закрепленного за</w:t>
      </w:r>
      <w:r>
        <w:t xml:space="preserve"> </w:t>
      </w:r>
      <w:r w:rsidRPr="00210EC7">
        <w:t>бюджетным учреждением учредителем или</w:t>
      </w:r>
      <w:r>
        <w:t xml:space="preserve"> </w:t>
      </w:r>
      <w:r w:rsidRPr="00210EC7">
        <w:t>приобретенного бюджетным учреждением за</w:t>
      </w:r>
      <w:r>
        <w:t xml:space="preserve"> </w:t>
      </w:r>
      <w:r w:rsidRPr="00210EC7">
        <w:t>счет средств</w:t>
      </w:r>
      <w:r>
        <w:t xml:space="preserve">, </w:t>
      </w:r>
      <w:r w:rsidRPr="00210EC7">
        <w:t>выделенных ему учредителем на</w:t>
      </w:r>
      <w:r>
        <w:t xml:space="preserve"> </w:t>
      </w:r>
      <w:r w:rsidRPr="00210EC7">
        <w:t>приобретение такого имущества</w:t>
      </w:r>
      <w:r>
        <w:t xml:space="preserve">, </w:t>
      </w:r>
      <w:r w:rsidRPr="00210EC7">
        <w:t>расходы на</w:t>
      </w:r>
      <w:r>
        <w:t xml:space="preserve"> </w:t>
      </w:r>
      <w:r w:rsidRPr="00210EC7">
        <w:t>уплату налогов</w:t>
      </w:r>
      <w:r>
        <w:t xml:space="preserve">, </w:t>
      </w:r>
      <w:r w:rsidRPr="00210EC7">
        <w:t>в</w:t>
      </w:r>
      <w:r>
        <w:t xml:space="preserve"> </w:t>
      </w:r>
      <w:r w:rsidRPr="00210EC7">
        <w:t>качестве объекта обложения которыми признается соответствующее имущество</w:t>
      </w:r>
      <w:r>
        <w:t xml:space="preserve">, </w:t>
      </w:r>
      <w:r w:rsidRPr="00210EC7">
        <w:t>в</w:t>
      </w:r>
      <w:r>
        <w:t xml:space="preserve"> </w:t>
      </w:r>
      <w:r w:rsidRPr="00210EC7">
        <w:t>том числе земельные участки</w:t>
      </w:r>
      <w:r>
        <w:t xml:space="preserve">, </w:t>
      </w:r>
      <w:r w:rsidRPr="00210EC7">
        <w:t>осуществляются за</w:t>
      </w:r>
      <w:r>
        <w:t xml:space="preserve"> </w:t>
      </w:r>
      <w:r w:rsidRPr="00210EC7">
        <w:t>счет средств субсидий на</w:t>
      </w:r>
      <w:r>
        <w:t xml:space="preserve"> </w:t>
      </w:r>
      <w:r w:rsidRPr="00210EC7">
        <w:t>выполнение задания учредителя. То</w:t>
      </w:r>
      <w:r>
        <w:t xml:space="preserve"> </w:t>
      </w:r>
      <w:r w:rsidRPr="00210EC7">
        <w:t>есть в</w:t>
      </w:r>
      <w:r>
        <w:t xml:space="preserve"> </w:t>
      </w:r>
      <w:r w:rsidRPr="00210EC7">
        <w:t>субсидиях на</w:t>
      </w:r>
      <w:r>
        <w:t xml:space="preserve"> </w:t>
      </w:r>
      <w:r w:rsidRPr="00210EC7">
        <w:t>иные цели обычно не</w:t>
      </w:r>
      <w:r>
        <w:t xml:space="preserve"> </w:t>
      </w:r>
      <w:r w:rsidRPr="00210EC7">
        <w:t>учитываются расходы по</w:t>
      </w:r>
      <w:r>
        <w:t xml:space="preserve"> </w:t>
      </w:r>
      <w:r w:rsidRPr="00210EC7">
        <w:t>содержанию имущества (ремонту</w:t>
      </w:r>
      <w:r>
        <w:t xml:space="preserve">, </w:t>
      </w:r>
      <w:r w:rsidRPr="00210EC7">
        <w:t>уплате налога на</w:t>
      </w:r>
      <w:r>
        <w:t xml:space="preserve"> </w:t>
      </w:r>
      <w:r w:rsidRPr="00210EC7">
        <w:t>имущества и</w:t>
      </w:r>
      <w:r>
        <w:t xml:space="preserve"> </w:t>
      </w:r>
      <w:r w:rsidRPr="00210EC7">
        <w:t>т.п.)</w:t>
      </w:r>
      <w:r>
        <w:t xml:space="preserve">, </w:t>
      </w:r>
      <w:r w:rsidRPr="00210EC7">
        <w:t>приобретенного за</w:t>
      </w:r>
      <w:r>
        <w:t xml:space="preserve"> </w:t>
      </w:r>
      <w:r w:rsidRPr="00210EC7">
        <w:t>счет данного источника финансирования. Именно поэтому основные средства</w:t>
      </w:r>
      <w:r>
        <w:t xml:space="preserve">, </w:t>
      </w:r>
      <w:r w:rsidRPr="00210EC7">
        <w:t>приобретаемые учреждением за</w:t>
      </w:r>
      <w:r>
        <w:t xml:space="preserve"> </w:t>
      </w:r>
      <w:r w:rsidRPr="00210EC7">
        <w:t>счет средств субсидий на</w:t>
      </w:r>
      <w:r>
        <w:t xml:space="preserve"> </w:t>
      </w:r>
      <w:r w:rsidRPr="00210EC7">
        <w:t>иные цели и</w:t>
      </w:r>
      <w:r>
        <w:t xml:space="preserve"> </w:t>
      </w:r>
      <w:r w:rsidRPr="00210EC7">
        <w:t>отражаемые в</w:t>
      </w:r>
      <w:r>
        <w:t xml:space="preserve"> </w:t>
      </w:r>
      <w:r w:rsidRPr="00210EC7">
        <w:t>учете по</w:t>
      </w:r>
      <w:r>
        <w:t xml:space="preserve"> </w:t>
      </w:r>
      <w:r w:rsidRPr="00210EC7">
        <w:t>коду вида деятельности 5 «Субсидии на</w:t>
      </w:r>
      <w:r>
        <w:t xml:space="preserve"> </w:t>
      </w:r>
      <w:r w:rsidRPr="00210EC7">
        <w:t>иные цели»</w:t>
      </w:r>
      <w:r>
        <w:t xml:space="preserve">, </w:t>
      </w:r>
      <w:r w:rsidRPr="00210EC7">
        <w:t>переводятся на</w:t>
      </w:r>
      <w:r>
        <w:t xml:space="preserve"> </w:t>
      </w:r>
      <w:r w:rsidRPr="00210EC7">
        <w:t>код вида деятельности 4 «Субсидии на</w:t>
      </w:r>
      <w:r>
        <w:t xml:space="preserve"> </w:t>
      </w:r>
      <w:r w:rsidRPr="00210EC7">
        <w:t>выполнение государственного (муниципального) задания».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Прежде чем</w:t>
      </w:r>
      <w:r>
        <w:t xml:space="preserve"> </w:t>
      </w:r>
      <w:r w:rsidRPr="00210EC7">
        <w:t>рассмотреть на</w:t>
      </w:r>
      <w:r>
        <w:t xml:space="preserve"> </w:t>
      </w:r>
      <w:r w:rsidRPr="00210EC7">
        <w:t>примере перемещение основных средств между видами деятельности</w:t>
      </w:r>
      <w:r>
        <w:t xml:space="preserve">, </w:t>
      </w:r>
      <w:r w:rsidRPr="00210EC7">
        <w:t>хотелось</w:t>
      </w:r>
      <w:r>
        <w:t xml:space="preserve"> </w:t>
      </w:r>
      <w:r w:rsidRPr="00210EC7">
        <w:t>бы заметить</w:t>
      </w:r>
      <w:r>
        <w:t xml:space="preserve">, </w:t>
      </w:r>
      <w:r w:rsidRPr="00210EC7">
        <w:t>что</w:t>
      </w:r>
      <w:r>
        <w:t xml:space="preserve"> </w:t>
      </w:r>
      <w:r w:rsidRPr="00210EC7">
        <w:t>некоторые специалисты</w:t>
      </w:r>
      <w:r>
        <w:t xml:space="preserve">, </w:t>
      </w:r>
      <w:r w:rsidRPr="00210EC7">
        <w:t>давая разъяснения по</w:t>
      </w:r>
      <w:r>
        <w:t xml:space="preserve"> </w:t>
      </w:r>
      <w:r w:rsidRPr="00210EC7">
        <w:t>вопросам перевода основных средств между видами деятельности</w:t>
      </w:r>
      <w:r>
        <w:t xml:space="preserve">, </w:t>
      </w:r>
      <w:r w:rsidRPr="00210EC7">
        <w:t>предлагают осуществлять его не</w:t>
      </w:r>
      <w:r>
        <w:t xml:space="preserve"> </w:t>
      </w:r>
      <w:r w:rsidRPr="00210EC7">
        <w:t>тогда</w:t>
      </w:r>
      <w:r>
        <w:t xml:space="preserve">, </w:t>
      </w:r>
      <w:r w:rsidRPr="00210EC7">
        <w:t>когда стоимость объекта сформирована на</w:t>
      </w:r>
      <w:r>
        <w:t xml:space="preserve"> </w:t>
      </w:r>
      <w:r w:rsidRPr="00210EC7">
        <w:t>счете</w:t>
      </w:r>
      <w:r>
        <w:t xml:space="preserve"> </w:t>
      </w:r>
      <w:r w:rsidRPr="00210EC7">
        <w:t>0</w:t>
      </w:r>
      <w:r>
        <w:t xml:space="preserve"> </w:t>
      </w:r>
      <w:r w:rsidRPr="00210EC7">
        <w:t>101</w:t>
      </w:r>
      <w:r>
        <w:t xml:space="preserve"> </w:t>
      </w:r>
      <w:r w:rsidRPr="00210EC7">
        <w:t>00</w:t>
      </w:r>
      <w:r>
        <w:t xml:space="preserve"> </w:t>
      </w:r>
      <w:r w:rsidRPr="00210EC7">
        <w:t>000 «Основные средства»</w:t>
      </w:r>
      <w:r>
        <w:t xml:space="preserve">, </w:t>
      </w:r>
      <w:r w:rsidRPr="00210EC7">
        <w:t>а</w:t>
      </w:r>
      <w:r>
        <w:t xml:space="preserve"> </w:t>
      </w:r>
      <w:r w:rsidRPr="00210EC7">
        <w:t>когда объект еще</w:t>
      </w:r>
      <w:r>
        <w:t xml:space="preserve"> </w:t>
      </w:r>
      <w:r w:rsidRPr="00210EC7">
        <w:t>учитывается на</w:t>
      </w:r>
      <w:r>
        <w:t xml:space="preserve"> </w:t>
      </w:r>
      <w:r w:rsidRPr="00210EC7">
        <w:t>счете</w:t>
      </w:r>
      <w:r>
        <w:t xml:space="preserve"> </w:t>
      </w:r>
      <w:r w:rsidRPr="00210EC7">
        <w:t>0</w:t>
      </w:r>
      <w:r>
        <w:t xml:space="preserve"> </w:t>
      </w:r>
      <w:r w:rsidRPr="00210EC7">
        <w:t>106</w:t>
      </w:r>
      <w:r>
        <w:t xml:space="preserve"> </w:t>
      </w:r>
      <w:r w:rsidRPr="00210EC7">
        <w:t>01</w:t>
      </w:r>
      <w:r>
        <w:t xml:space="preserve"> </w:t>
      </w:r>
      <w:r w:rsidRPr="00210EC7">
        <w:t>000 «Вложения в</w:t>
      </w:r>
      <w:r>
        <w:t xml:space="preserve"> </w:t>
      </w:r>
      <w:r w:rsidRPr="00210EC7">
        <w:t>основные средства». По</w:t>
      </w:r>
      <w:r>
        <w:t xml:space="preserve"> </w:t>
      </w:r>
      <w:r w:rsidRPr="00210EC7">
        <w:t>нашему мнению</w:t>
      </w:r>
      <w:r>
        <w:t xml:space="preserve">, </w:t>
      </w:r>
      <w:r w:rsidRPr="00210EC7">
        <w:t>если направлением расходования субсидии на</w:t>
      </w:r>
      <w:r>
        <w:t xml:space="preserve"> </w:t>
      </w:r>
      <w:r w:rsidRPr="00210EC7">
        <w:t>иные цели является приобретение основного средства</w:t>
      </w:r>
      <w:r>
        <w:t xml:space="preserve">, </w:t>
      </w:r>
      <w:r w:rsidRPr="00210EC7">
        <w:t>следует сначала сформировать стоимость основного средства в</w:t>
      </w:r>
      <w:r>
        <w:t xml:space="preserve"> </w:t>
      </w:r>
      <w:r w:rsidRPr="00210EC7">
        <w:t>учете и</w:t>
      </w:r>
      <w:r>
        <w:t xml:space="preserve"> </w:t>
      </w:r>
      <w:r w:rsidRPr="00210EC7">
        <w:t>отразить ее на</w:t>
      </w:r>
      <w:r>
        <w:t xml:space="preserve"> </w:t>
      </w:r>
      <w:r w:rsidRPr="00210EC7">
        <w:t>счете</w:t>
      </w:r>
      <w:r>
        <w:t xml:space="preserve"> </w:t>
      </w:r>
      <w:r w:rsidRPr="00210EC7">
        <w:t>0</w:t>
      </w:r>
      <w:r>
        <w:t xml:space="preserve"> </w:t>
      </w:r>
      <w:r w:rsidRPr="00210EC7">
        <w:t>101</w:t>
      </w:r>
      <w:r>
        <w:t xml:space="preserve"> </w:t>
      </w:r>
      <w:r w:rsidRPr="00210EC7">
        <w:t>00</w:t>
      </w:r>
      <w:r>
        <w:t xml:space="preserve"> </w:t>
      </w:r>
      <w:r w:rsidRPr="00210EC7">
        <w:t>000</w:t>
      </w:r>
      <w:r>
        <w:t xml:space="preserve">, </w:t>
      </w:r>
      <w:r w:rsidRPr="00210EC7">
        <w:t>а</w:t>
      </w:r>
      <w:r>
        <w:t xml:space="preserve"> </w:t>
      </w:r>
      <w:r w:rsidRPr="00210EC7">
        <w:t>затем осуществить перевод. В</w:t>
      </w:r>
      <w:r>
        <w:t xml:space="preserve"> </w:t>
      </w:r>
      <w:r w:rsidRPr="00210EC7">
        <w:t>этом случае</w:t>
      </w:r>
      <w:r>
        <w:t xml:space="preserve">, </w:t>
      </w:r>
      <w:r w:rsidRPr="00210EC7">
        <w:t>представляя учредителю отчетность об</w:t>
      </w:r>
      <w:r>
        <w:t xml:space="preserve"> </w:t>
      </w:r>
      <w:r w:rsidRPr="00210EC7">
        <w:t>использовании субсидий</w:t>
      </w:r>
      <w:r>
        <w:t xml:space="preserve">, </w:t>
      </w:r>
      <w:r w:rsidRPr="00210EC7">
        <w:t>учреждение покажет</w:t>
      </w:r>
      <w:r>
        <w:t xml:space="preserve">, </w:t>
      </w:r>
      <w:r w:rsidRPr="00210EC7">
        <w:t>что</w:t>
      </w:r>
      <w:r>
        <w:t xml:space="preserve"> </w:t>
      </w:r>
      <w:r w:rsidRPr="00210EC7">
        <w:t>им были приобретены основные средства</w:t>
      </w:r>
      <w:r>
        <w:t xml:space="preserve">, </w:t>
      </w:r>
      <w:r w:rsidRPr="00210EC7">
        <w:t>а</w:t>
      </w:r>
      <w:r>
        <w:t xml:space="preserve"> </w:t>
      </w:r>
      <w:r w:rsidRPr="00210EC7">
        <w:t>не</w:t>
      </w:r>
      <w:r>
        <w:t xml:space="preserve"> </w:t>
      </w:r>
      <w:r w:rsidRPr="00210EC7">
        <w:t>вложения в</w:t>
      </w:r>
      <w:r>
        <w:t xml:space="preserve"> </w:t>
      </w:r>
      <w:r w:rsidRPr="00210EC7">
        <w:t>основные средства</w:t>
      </w:r>
      <w:r>
        <w:t xml:space="preserve">, </w:t>
      </w:r>
      <w:r w:rsidRPr="00210EC7">
        <w:t>как</w:t>
      </w:r>
      <w:r>
        <w:t xml:space="preserve"> </w:t>
      </w:r>
      <w:r w:rsidRPr="00210EC7">
        <w:t>того и</w:t>
      </w:r>
      <w:r>
        <w:t xml:space="preserve"> </w:t>
      </w:r>
      <w:r w:rsidRPr="00210EC7">
        <w:t>требовал учредитель. Ведь основные средства и</w:t>
      </w:r>
      <w:r>
        <w:t xml:space="preserve"> </w:t>
      </w:r>
      <w:r w:rsidRPr="00210EC7">
        <w:t>вложения в</w:t>
      </w:r>
      <w:r>
        <w:t xml:space="preserve"> </w:t>
      </w:r>
      <w:r w:rsidRPr="00210EC7">
        <w:t>основные средства не</w:t>
      </w:r>
      <w:r>
        <w:t xml:space="preserve"> </w:t>
      </w:r>
      <w:r w:rsidRPr="00210EC7">
        <w:t>одно и</w:t>
      </w:r>
      <w:r>
        <w:t xml:space="preserve"> </w:t>
      </w:r>
      <w:r w:rsidRPr="00210EC7">
        <w:t>то</w:t>
      </w:r>
      <w:r>
        <w:t xml:space="preserve"> </w:t>
      </w:r>
      <w:r w:rsidRPr="00210EC7">
        <w:t>же</w:t>
      </w:r>
      <w:r>
        <w:t xml:space="preserve">, </w:t>
      </w:r>
      <w:r w:rsidRPr="00210EC7">
        <w:t>в</w:t>
      </w:r>
      <w:r>
        <w:t xml:space="preserve"> </w:t>
      </w:r>
      <w:r w:rsidRPr="00210EC7">
        <w:t>частности</w:t>
      </w:r>
      <w:r>
        <w:t xml:space="preserve">, </w:t>
      </w:r>
      <w:r w:rsidRPr="00210EC7">
        <w:t>это следует из</w:t>
      </w:r>
      <w:r>
        <w:t xml:space="preserve"> </w:t>
      </w:r>
      <w:r w:rsidRPr="00210EC7">
        <w:t>положений п.</w:t>
      </w:r>
      <w:r>
        <w:t xml:space="preserve"> </w:t>
      </w:r>
      <w:r w:rsidRPr="00210EC7">
        <w:t>23 Инструкции № 157н[3]. В</w:t>
      </w:r>
      <w:r>
        <w:t xml:space="preserve"> </w:t>
      </w:r>
      <w:r w:rsidRPr="00210EC7">
        <w:t>нем сказано</w:t>
      </w:r>
      <w:r>
        <w:t xml:space="preserve">, </w:t>
      </w:r>
      <w:r w:rsidRPr="00210EC7">
        <w:t>что</w:t>
      </w:r>
      <w:r>
        <w:t xml:space="preserve"> </w:t>
      </w:r>
      <w:r w:rsidRPr="00210EC7">
        <w:t>стоимость объекта</w:t>
      </w:r>
      <w:r>
        <w:t xml:space="preserve">, </w:t>
      </w:r>
      <w:r w:rsidRPr="00210EC7">
        <w:t>отражаемого в</w:t>
      </w:r>
      <w:r>
        <w:t xml:space="preserve"> </w:t>
      </w:r>
      <w:r w:rsidRPr="00210EC7">
        <w:t>учете как</w:t>
      </w:r>
      <w:r>
        <w:t xml:space="preserve"> </w:t>
      </w:r>
      <w:r w:rsidRPr="00210EC7">
        <w:t>объект основных средств</w:t>
      </w:r>
      <w:r>
        <w:t xml:space="preserve">, </w:t>
      </w:r>
      <w:r w:rsidRPr="00210EC7">
        <w:t>включает в</w:t>
      </w:r>
      <w:r>
        <w:t xml:space="preserve"> </w:t>
      </w:r>
      <w:r w:rsidRPr="00210EC7">
        <w:t>себя сумму фактических вложений в</w:t>
      </w:r>
      <w:r>
        <w:t xml:space="preserve"> </w:t>
      </w:r>
      <w:r w:rsidRPr="00210EC7">
        <w:t>его приобретение</w:t>
      </w:r>
      <w:r>
        <w:t xml:space="preserve">, </w:t>
      </w:r>
      <w:r w:rsidRPr="00210EC7">
        <w:t>сооружение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или</w:t>
      </w:r>
      <w:r>
        <w:t xml:space="preserve"> </w:t>
      </w:r>
      <w:r w:rsidRPr="00210EC7">
        <w:t>изготовление (создание) с</w:t>
      </w:r>
      <w:r>
        <w:t xml:space="preserve"> </w:t>
      </w:r>
      <w:r w:rsidRPr="00210EC7">
        <w:t>учетом сумм НДС</w:t>
      </w:r>
      <w:r>
        <w:t xml:space="preserve">, </w:t>
      </w:r>
      <w:r w:rsidRPr="00210EC7">
        <w:t>предъявленных учреждению поставщиками и</w:t>
      </w:r>
      <w:r>
        <w:t xml:space="preserve"> </w:t>
      </w:r>
      <w:r w:rsidRPr="00210EC7">
        <w:t>(или) подрядчиками (кроме их</w:t>
      </w:r>
      <w:r>
        <w:t xml:space="preserve"> </w:t>
      </w:r>
      <w:r w:rsidRPr="00210EC7">
        <w:t>приобретения</w:t>
      </w:r>
      <w:r>
        <w:t xml:space="preserve">, </w:t>
      </w:r>
      <w:r w:rsidRPr="00210EC7">
        <w:t>сооружения и</w:t>
      </w:r>
      <w:r>
        <w:t xml:space="preserve"> </w:t>
      </w:r>
      <w:r w:rsidRPr="00210EC7">
        <w:t>изготовления в</w:t>
      </w:r>
      <w:r>
        <w:t xml:space="preserve"> </w:t>
      </w:r>
      <w:r w:rsidRPr="00210EC7">
        <w:t>рамках деятельности</w:t>
      </w:r>
      <w:r>
        <w:t xml:space="preserve">, </w:t>
      </w:r>
      <w:r w:rsidRPr="00210EC7">
        <w:t>облагаемой НДС</w:t>
      </w:r>
      <w:r>
        <w:t xml:space="preserve">, </w:t>
      </w:r>
      <w:r w:rsidRPr="00210EC7">
        <w:t>если иное не</w:t>
      </w:r>
      <w:r>
        <w:t xml:space="preserve"> </w:t>
      </w:r>
      <w:r w:rsidRPr="00210EC7">
        <w:t>предусмотрено налоговым законодательством</w:t>
      </w:r>
      <w:r>
        <w:t xml:space="preserve"> </w:t>
      </w:r>
      <w:r w:rsidRPr="00210EC7">
        <w:t>РФ).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Бухгалтерский учет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Рассмотрим на</w:t>
      </w:r>
      <w:r>
        <w:t xml:space="preserve"> </w:t>
      </w:r>
      <w:r w:rsidRPr="00210EC7">
        <w:t>примере порядок отражения в</w:t>
      </w:r>
      <w:r>
        <w:t xml:space="preserve"> </w:t>
      </w:r>
      <w:r w:rsidRPr="00210EC7">
        <w:t>бухгалтерском учете операций по</w:t>
      </w:r>
      <w:r>
        <w:t xml:space="preserve"> </w:t>
      </w:r>
      <w:r w:rsidRPr="00210EC7">
        <w:t>приобретению учреждением основных средств за</w:t>
      </w:r>
      <w:r>
        <w:t xml:space="preserve"> </w:t>
      </w:r>
      <w:r w:rsidRPr="00210EC7">
        <w:t>счет средств целевой субсидии.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соответствии с</w:t>
      </w:r>
      <w:r>
        <w:t xml:space="preserve"> </w:t>
      </w:r>
      <w:r w:rsidRPr="00210EC7">
        <w:t>Указаниями о</w:t>
      </w:r>
      <w:r>
        <w:t xml:space="preserve"> </w:t>
      </w:r>
      <w:r w:rsidRPr="00210EC7">
        <w:t>порядке применения бюджетной классификации Российской Федерации</w:t>
      </w:r>
      <w:r>
        <w:t xml:space="preserve">, </w:t>
      </w:r>
      <w:r w:rsidRPr="00210EC7">
        <w:t>утвержденными Приказом Минфина</w:t>
      </w:r>
      <w:r>
        <w:t xml:space="preserve"> </w:t>
      </w:r>
      <w:r w:rsidRPr="00210EC7">
        <w:t>РФ от</w:t>
      </w:r>
      <w:r>
        <w:t xml:space="preserve"> </w:t>
      </w:r>
      <w:r w:rsidRPr="00210EC7">
        <w:t>21.12.2011 № 180н</w:t>
      </w:r>
      <w:r>
        <w:t xml:space="preserve">, </w:t>
      </w:r>
      <w:r w:rsidRPr="00210EC7">
        <w:t>расходы по</w:t>
      </w:r>
      <w:r>
        <w:t xml:space="preserve"> </w:t>
      </w:r>
      <w:r w:rsidRPr="00210EC7">
        <w:t>приобретению основных средств относятся на</w:t>
      </w:r>
      <w:r>
        <w:t xml:space="preserve"> </w:t>
      </w:r>
      <w:r w:rsidRPr="00210EC7">
        <w:t>статью 310 «Увеличение стоимости основных средств» КОСГУ.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Учредитель выделил своему подведомственному учреждению субсидию на</w:t>
      </w:r>
      <w:r>
        <w:t xml:space="preserve"> </w:t>
      </w:r>
      <w:r w:rsidRPr="00210EC7">
        <w:t>иные цели в</w:t>
      </w:r>
      <w:r>
        <w:t xml:space="preserve"> </w:t>
      </w:r>
      <w:r w:rsidRPr="00210EC7">
        <w:t>размере 800</w:t>
      </w:r>
      <w:r>
        <w:t xml:space="preserve"> </w:t>
      </w:r>
      <w:r w:rsidRPr="00210EC7">
        <w:t>000</w:t>
      </w:r>
      <w:r>
        <w:t xml:space="preserve"> </w:t>
      </w:r>
      <w:r w:rsidRPr="00210EC7">
        <w:t>руб. Субсидия предоставлена в</w:t>
      </w:r>
      <w:r>
        <w:t xml:space="preserve"> </w:t>
      </w:r>
      <w:r w:rsidRPr="00210EC7">
        <w:t>пределах бюджетных ассигнований</w:t>
      </w:r>
      <w:r>
        <w:t xml:space="preserve">, </w:t>
      </w:r>
      <w:r w:rsidRPr="00210EC7">
        <w:t>предусмотренных в</w:t>
      </w:r>
      <w:r>
        <w:t xml:space="preserve"> </w:t>
      </w:r>
      <w:r w:rsidRPr="00210EC7">
        <w:t>федеральном законе о</w:t>
      </w:r>
      <w:r>
        <w:t xml:space="preserve"> </w:t>
      </w:r>
      <w:r w:rsidRPr="00210EC7">
        <w:t>федеральном бюджете на</w:t>
      </w:r>
      <w:r>
        <w:t xml:space="preserve"> </w:t>
      </w:r>
      <w:r w:rsidRPr="00210EC7">
        <w:t>соответствующий финансовый год и</w:t>
      </w:r>
      <w:r>
        <w:t xml:space="preserve"> </w:t>
      </w:r>
      <w:r w:rsidRPr="00210EC7">
        <w:t>плановый период</w:t>
      </w:r>
      <w:r>
        <w:t xml:space="preserve">, </w:t>
      </w:r>
      <w:r w:rsidRPr="00210EC7">
        <w:t>и</w:t>
      </w:r>
      <w:r>
        <w:t xml:space="preserve"> </w:t>
      </w:r>
      <w:r w:rsidRPr="00210EC7">
        <w:t>лимитов бюджетных обязательств</w:t>
      </w:r>
      <w:r>
        <w:t xml:space="preserve">, </w:t>
      </w:r>
      <w:r w:rsidRPr="00210EC7">
        <w:t>утвержденных в</w:t>
      </w:r>
      <w:r>
        <w:t xml:space="preserve"> </w:t>
      </w:r>
      <w:r w:rsidRPr="00210EC7">
        <w:t>установленном порядке учредителю</w:t>
      </w:r>
      <w:r>
        <w:t xml:space="preserve">, </w:t>
      </w:r>
      <w:r w:rsidRPr="00210EC7">
        <w:t>в</w:t>
      </w:r>
      <w:r>
        <w:t xml:space="preserve"> </w:t>
      </w:r>
      <w:r w:rsidRPr="00210EC7">
        <w:t>том числе и</w:t>
      </w:r>
      <w:r>
        <w:t xml:space="preserve"> </w:t>
      </w:r>
      <w:r w:rsidRPr="00210EC7">
        <w:t>на</w:t>
      </w:r>
      <w:r>
        <w:t xml:space="preserve"> </w:t>
      </w:r>
      <w:r w:rsidRPr="00210EC7">
        <w:t>приобретение оборудования</w:t>
      </w:r>
      <w:r>
        <w:t xml:space="preserve">, </w:t>
      </w:r>
      <w:r w:rsidRPr="00210EC7">
        <w:t>не</w:t>
      </w:r>
      <w:r>
        <w:t xml:space="preserve"> </w:t>
      </w:r>
      <w:r w:rsidRPr="00210EC7">
        <w:t>используемого непосредственно при</w:t>
      </w:r>
      <w:r>
        <w:t xml:space="preserve"> </w:t>
      </w:r>
      <w:r w:rsidRPr="00210EC7">
        <w:t>оказании государственной услуги (выполнении работы). За</w:t>
      </w:r>
      <w:r>
        <w:t xml:space="preserve"> </w:t>
      </w:r>
      <w:r w:rsidRPr="00210EC7">
        <w:t>счет средств субсидии учреждение приобрело оборудование стоимостью 590</w:t>
      </w:r>
      <w:r>
        <w:t xml:space="preserve"> </w:t>
      </w:r>
      <w:r w:rsidRPr="00210EC7">
        <w:t>000</w:t>
      </w:r>
      <w:r>
        <w:t xml:space="preserve"> </w:t>
      </w:r>
      <w:r w:rsidRPr="00210EC7">
        <w:t>руб. (в</w:t>
      </w:r>
      <w:r>
        <w:t xml:space="preserve"> </w:t>
      </w:r>
      <w:r w:rsidRPr="00210EC7">
        <w:t>том числе НДС</w:t>
      </w:r>
      <w:r>
        <w:t xml:space="preserve"> </w:t>
      </w:r>
      <w:r w:rsidRPr="00210EC7">
        <w:t>– 90</w:t>
      </w:r>
      <w:r>
        <w:t xml:space="preserve"> </w:t>
      </w:r>
      <w:r w:rsidRPr="00210EC7">
        <w:t>000</w:t>
      </w:r>
      <w:r>
        <w:t xml:space="preserve"> </w:t>
      </w:r>
      <w:r w:rsidRPr="00210EC7">
        <w:t>руб.). В</w:t>
      </w:r>
      <w:r>
        <w:t xml:space="preserve"> </w:t>
      </w:r>
      <w:r w:rsidRPr="00210EC7">
        <w:t>силу того что</w:t>
      </w:r>
      <w:r>
        <w:t xml:space="preserve"> </w:t>
      </w:r>
      <w:r w:rsidRPr="00210EC7">
        <w:t>денежные средства на</w:t>
      </w:r>
      <w:r>
        <w:t xml:space="preserve"> </w:t>
      </w:r>
      <w:r w:rsidRPr="00210EC7">
        <w:t>содержание оборудования предоставляются учреждению в</w:t>
      </w:r>
      <w:r>
        <w:t xml:space="preserve"> </w:t>
      </w:r>
      <w:r w:rsidRPr="00210EC7">
        <w:t>виде субсидий на</w:t>
      </w:r>
      <w:r>
        <w:t xml:space="preserve"> </w:t>
      </w:r>
      <w:r w:rsidRPr="00210EC7">
        <w:t>возмещение нормативных затрат на</w:t>
      </w:r>
      <w:r>
        <w:t xml:space="preserve"> </w:t>
      </w:r>
      <w:r w:rsidRPr="00210EC7">
        <w:t>выполнение задания учредителя</w:t>
      </w:r>
      <w:r>
        <w:t xml:space="preserve">, </w:t>
      </w:r>
      <w:r w:rsidRPr="00210EC7">
        <w:t>учреждение перевело оборудование с</w:t>
      </w:r>
      <w:r>
        <w:t xml:space="preserve"> </w:t>
      </w:r>
      <w:r w:rsidRPr="00210EC7">
        <w:t>кода вида деятельности 5 на</w:t>
      </w:r>
      <w:r>
        <w:t xml:space="preserve"> </w:t>
      </w:r>
      <w:r w:rsidRPr="00210EC7">
        <w:t>код вида деятельности 4. Приобретенное оборудование относится к</w:t>
      </w:r>
      <w:r>
        <w:t xml:space="preserve"> </w:t>
      </w:r>
      <w:r w:rsidRPr="00210EC7">
        <w:t>категории «особо ценное движимое имущество».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В</w:t>
      </w:r>
      <w:r>
        <w:t xml:space="preserve"> </w:t>
      </w:r>
      <w:r w:rsidRPr="00210EC7">
        <w:t>бухгалтерском учете операции по</w:t>
      </w:r>
      <w:r>
        <w:t xml:space="preserve"> </w:t>
      </w:r>
      <w:r w:rsidRPr="00210EC7">
        <w:t>приобретению и</w:t>
      </w:r>
      <w:r>
        <w:t xml:space="preserve"> </w:t>
      </w:r>
      <w:r w:rsidRPr="00210EC7">
        <w:t>переводу оборудования отразятся следующим образом:</w:t>
      </w:r>
      <w: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9"/>
        <w:gridCol w:w="1496"/>
        <w:gridCol w:w="1654"/>
        <w:gridCol w:w="1663"/>
        <w:gridCol w:w="2066"/>
      </w:tblGrid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6FF" w:rsidRPr="00210EC7" w:rsidRDefault="009C16FF" w:rsidP="006614DC">
            <w:r w:rsidRPr="00210EC7">
              <w:t>Содержание операции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6FF" w:rsidRPr="00210EC7" w:rsidRDefault="009C16FF" w:rsidP="006614DC">
            <w:r w:rsidRPr="00210EC7">
              <w:t>Дебет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6FF" w:rsidRPr="00210EC7" w:rsidRDefault="009C16FF" w:rsidP="006614DC">
            <w:r w:rsidRPr="00210EC7">
              <w:t>Кредит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6FF" w:rsidRPr="00210EC7" w:rsidRDefault="009C16FF" w:rsidP="006614DC">
            <w:r w:rsidRPr="00210EC7">
              <w:t>Сумма</w:t>
            </w:r>
            <w:r>
              <w:t xml:space="preserve">, </w:t>
            </w:r>
            <w:r w:rsidRPr="00210EC7">
              <w:t>руб.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C16FF" w:rsidRPr="00210EC7" w:rsidRDefault="009C16FF" w:rsidP="006614DC">
            <w:r w:rsidRPr="00210EC7">
              <w:t>Документ-основание</w:t>
            </w:r>
          </w:p>
        </w:tc>
      </w:tr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Начислен доход от</w:t>
            </w:r>
            <w:r>
              <w:t xml:space="preserve"> </w:t>
            </w:r>
            <w:r w:rsidRPr="00210EC7">
              <w:t>поступления целевой субсидии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205</w:t>
            </w:r>
            <w:r>
              <w:t xml:space="preserve"> </w:t>
            </w:r>
            <w:r w:rsidRPr="00210EC7">
              <w:t>81 560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401</w:t>
            </w:r>
            <w:r>
              <w:t xml:space="preserve"> </w:t>
            </w:r>
            <w:r w:rsidRPr="00210EC7">
              <w:t>10 180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800 000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16FF" w:rsidRPr="00210EC7" w:rsidRDefault="009C16FF" w:rsidP="006614DC">
            <w:r w:rsidRPr="00210EC7">
              <w:t>Справка (ф.</w:t>
            </w:r>
            <w:r>
              <w:t xml:space="preserve"> </w:t>
            </w:r>
            <w:r w:rsidRPr="00210EC7">
              <w:t>0504833)</w:t>
            </w:r>
          </w:p>
        </w:tc>
      </w:tr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Поступила целевая субсидия на</w:t>
            </w:r>
            <w:r>
              <w:t xml:space="preserve"> </w:t>
            </w:r>
            <w:r w:rsidRPr="00210EC7">
              <w:t>приобретение оборудования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201</w:t>
            </w:r>
            <w:r>
              <w:t xml:space="preserve"> </w:t>
            </w:r>
            <w:r w:rsidRPr="00210EC7">
              <w:t>11 510</w:t>
            </w:r>
          </w:p>
          <w:p w:rsidR="009C16FF" w:rsidRPr="00210EC7" w:rsidRDefault="009C16FF" w:rsidP="006614DC">
            <w:r w:rsidRPr="00210EC7"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205</w:t>
            </w:r>
            <w:r>
              <w:t xml:space="preserve"> </w:t>
            </w:r>
            <w:r w:rsidRPr="00210EC7">
              <w:t>81 660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800 000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16FF" w:rsidRPr="00210EC7" w:rsidRDefault="009C16FF" w:rsidP="006614DC">
            <w:r w:rsidRPr="00210EC7">
              <w:t>Выписка с</w:t>
            </w:r>
            <w:r>
              <w:t xml:space="preserve"> </w:t>
            </w:r>
            <w:r w:rsidRPr="00210EC7">
              <w:t>отдельного лицевого счета</w:t>
            </w:r>
          </w:p>
        </w:tc>
      </w:tr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Получено оборудование от</w:t>
            </w:r>
            <w:r>
              <w:t xml:space="preserve"> </w:t>
            </w:r>
            <w:r w:rsidRPr="00210EC7">
              <w:t>поставщика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106</w:t>
            </w:r>
            <w:r>
              <w:t xml:space="preserve"> </w:t>
            </w:r>
            <w:r w:rsidRPr="00210EC7">
              <w:t>21 310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302</w:t>
            </w:r>
            <w:r>
              <w:t xml:space="preserve"> </w:t>
            </w:r>
            <w:r w:rsidRPr="00210EC7">
              <w:t>31 730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590 000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16FF" w:rsidRPr="00210EC7" w:rsidRDefault="009C16FF" w:rsidP="006614DC">
            <w:r w:rsidRPr="00210EC7">
              <w:t>Счет-фактура</w:t>
            </w:r>
            <w:r>
              <w:t xml:space="preserve">, </w:t>
            </w:r>
            <w:r w:rsidRPr="00210EC7">
              <w:t>Товарная накладная</w:t>
            </w:r>
          </w:p>
          <w:p w:rsidR="009C16FF" w:rsidRPr="00210EC7" w:rsidRDefault="009C16FF" w:rsidP="006614DC">
            <w:r w:rsidRPr="00210EC7">
              <w:t>(ф. ТОРГ-12)</w:t>
            </w:r>
          </w:p>
        </w:tc>
      </w:tr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Перечислены поставщику денежные средства за</w:t>
            </w:r>
            <w:r>
              <w:t xml:space="preserve"> </w:t>
            </w:r>
            <w:r w:rsidRPr="00210EC7">
              <w:t>счет средств целевой субсидии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302</w:t>
            </w:r>
            <w:r>
              <w:t xml:space="preserve"> </w:t>
            </w:r>
            <w:r w:rsidRPr="00210EC7">
              <w:t>31 830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201</w:t>
            </w:r>
            <w:r>
              <w:t xml:space="preserve"> </w:t>
            </w:r>
            <w:r w:rsidRPr="00210EC7">
              <w:t>11 610</w:t>
            </w:r>
          </w:p>
          <w:p w:rsidR="009C16FF" w:rsidRPr="00210EC7" w:rsidRDefault="009C16FF" w:rsidP="006614DC">
            <w:r w:rsidRPr="00210EC7">
              <w:t>18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590 000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16FF" w:rsidRPr="00210EC7" w:rsidRDefault="009C16FF" w:rsidP="006614DC">
            <w:r w:rsidRPr="00210EC7">
              <w:t>Договор</w:t>
            </w:r>
            <w:r>
              <w:t xml:space="preserve">, </w:t>
            </w:r>
            <w:r w:rsidRPr="00210EC7">
              <w:t>счет-фактура</w:t>
            </w:r>
            <w:r>
              <w:t xml:space="preserve">, </w:t>
            </w:r>
            <w:r w:rsidRPr="00210EC7">
              <w:t>платежное поручение</w:t>
            </w:r>
            <w:r>
              <w:t xml:space="preserve">, </w:t>
            </w:r>
            <w:r w:rsidRPr="00210EC7">
              <w:t>выписка с</w:t>
            </w:r>
            <w:r>
              <w:t xml:space="preserve"> </w:t>
            </w:r>
            <w:r w:rsidRPr="00210EC7">
              <w:t>отдельного лицевого счета</w:t>
            </w:r>
          </w:p>
        </w:tc>
      </w:tr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Принято к</w:t>
            </w:r>
            <w:r>
              <w:t xml:space="preserve"> </w:t>
            </w:r>
            <w:r w:rsidRPr="00210EC7">
              <w:t>учету оборудование</w:t>
            </w:r>
            <w:r>
              <w:t xml:space="preserve">, </w:t>
            </w:r>
            <w:r w:rsidRPr="00210EC7">
              <w:t>полученное от</w:t>
            </w:r>
            <w:r>
              <w:t xml:space="preserve"> </w:t>
            </w:r>
            <w:r w:rsidRPr="00210EC7">
              <w:t>поставщика по</w:t>
            </w:r>
            <w:r>
              <w:t xml:space="preserve"> </w:t>
            </w:r>
            <w:r w:rsidRPr="00210EC7">
              <w:t>сформированной первоначальной стоимости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101</w:t>
            </w:r>
            <w:r>
              <w:t xml:space="preserve"> </w:t>
            </w:r>
            <w:r w:rsidRPr="00210EC7">
              <w:t>24 310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106</w:t>
            </w:r>
            <w:r>
              <w:t xml:space="preserve"> </w:t>
            </w:r>
            <w:r w:rsidRPr="00210EC7">
              <w:t>21 410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590 000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16FF" w:rsidRPr="00210EC7" w:rsidRDefault="009C16FF" w:rsidP="006614DC">
            <w:r w:rsidRPr="00210EC7">
              <w:t>Акт о</w:t>
            </w:r>
            <w:r>
              <w:t xml:space="preserve"> </w:t>
            </w:r>
            <w:r w:rsidRPr="00210EC7">
              <w:t>приеме-передаче объекта основных средств (кроме зданий</w:t>
            </w:r>
            <w:r>
              <w:t xml:space="preserve">, </w:t>
            </w:r>
            <w:r w:rsidRPr="00210EC7">
              <w:t>сооружений) (ф.</w:t>
            </w:r>
            <w:r>
              <w:t xml:space="preserve"> </w:t>
            </w:r>
            <w:r w:rsidRPr="00210EC7">
              <w:t>0306001)</w:t>
            </w:r>
          </w:p>
        </w:tc>
      </w:tr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Одновременно совершается перевод оборудования с</w:t>
            </w:r>
            <w:r>
              <w:t xml:space="preserve"> </w:t>
            </w:r>
            <w:r w:rsidRPr="00210EC7">
              <w:t>кода вида деятельности 5 «Субсидии на</w:t>
            </w:r>
            <w:r>
              <w:t xml:space="preserve"> </w:t>
            </w:r>
            <w:r w:rsidRPr="00210EC7">
              <w:t>иные цели» на</w:t>
            </w:r>
            <w:r>
              <w:t xml:space="preserve"> </w:t>
            </w:r>
            <w:r w:rsidRPr="00210EC7">
              <w:t>код вида деятельности 4</w:t>
            </w:r>
            <w:r>
              <w:t xml:space="preserve"> </w:t>
            </w:r>
            <w:r w:rsidRPr="00210EC7">
              <w:t>«Субсидии на</w:t>
            </w:r>
            <w:r>
              <w:t xml:space="preserve"> </w:t>
            </w:r>
            <w:r w:rsidRPr="00210EC7">
              <w:t>выполнение государственного (муниципального) задания»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401</w:t>
            </w:r>
            <w:r>
              <w:t xml:space="preserve"> </w:t>
            </w:r>
            <w:r w:rsidRPr="00210EC7">
              <w:t>10 180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</w:t>
            </w:r>
            <w:r>
              <w:t xml:space="preserve"> </w:t>
            </w:r>
            <w:r w:rsidRPr="00210EC7">
              <w:t>101</w:t>
            </w:r>
            <w:r>
              <w:t xml:space="preserve"> </w:t>
            </w:r>
            <w:r w:rsidRPr="00210EC7">
              <w:t>24 310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590 000</w:t>
            </w:r>
          </w:p>
        </w:tc>
        <w:tc>
          <w:tcPr>
            <w:tcW w:w="10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C16FF" w:rsidRPr="00210EC7" w:rsidRDefault="009C16FF" w:rsidP="006614DC">
            <w:r w:rsidRPr="00210EC7">
              <w:t>Справка (ф.</w:t>
            </w:r>
            <w:r>
              <w:t xml:space="preserve"> </w:t>
            </w:r>
            <w:r w:rsidRPr="00210EC7">
              <w:t>0504833)</w:t>
            </w:r>
          </w:p>
        </w:tc>
      </w:tr>
      <w:tr w:rsidR="009C16FF" w:rsidRPr="00210EC7" w:rsidTr="006614DC">
        <w:trPr>
          <w:tblCellSpacing w:w="0" w:type="dxa"/>
        </w:trPr>
        <w:tc>
          <w:tcPr>
            <w:tcW w:w="14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Принято оборудование к</w:t>
            </w:r>
            <w:r>
              <w:t xml:space="preserve"> </w:t>
            </w:r>
            <w:r w:rsidRPr="00210EC7">
              <w:t>учету в</w:t>
            </w:r>
            <w:r>
              <w:t xml:space="preserve"> </w:t>
            </w:r>
            <w:r w:rsidRPr="00210EC7">
              <w:t>составе основных средств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4</w:t>
            </w:r>
            <w:r>
              <w:t xml:space="preserve"> </w:t>
            </w:r>
            <w:r w:rsidRPr="00210EC7">
              <w:t>101</w:t>
            </w:r>
            <w:r>
              <w:t xml:space="preserve"> </w:t>
            </w:r>
            <w:r w:rsidRPr="00210EC7">
              <w:t>24 310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4</w:t>
            </w:r>
            <w:r>
              <w:t xml:space="preserve"> </w:t>
            </w:r>
            <w:r w:rsidRPr="00210EC7">
              <w:t>210</w:t>
            </w:r>
            <w:r>
              <w:t xml:space="preserve"> </w:t>
            </w:r>
            <w:r w:rsidRPr="00210EC7">
              <w:t>06 600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6FF" w:rsidRPr="00210EC7" w:rsidRDefault="009C16FF" w:rsidP="006614DC">
            <w:r w:rsidRPr="00210EC7">
              <w:t>590 000</w:t>
            </w:r>
          </w:p>
        </w:tc>
        <w:tc>
          <w:tcPr>
            <w:tcW w:w="10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C16FF" w:rsidRPr="00210EC7" w:rsidRDefault="009C16FF" w:rsidP="006614DC"/>
        </w:tc>
      </w:tr>
    </w:tbl>
    <w:p w:rsidR="009C16FF" w:rsidRPr="00210EC7" w:rsidRDefault="009C16FF" w:rsidP="009C16FF">
      <w:pPr>
        <w:spacing w:before="120"/>
        <w:ind w:firstLine="567"/>
        <w:jc w:val="both"/>
      </w:pPr>
      <w:r w:rsidRPr="00210EC7">
        <w:t>Сумма НДС</w:t>
      </w:r>
      <w:r>
        <w:t xml:space="preserve">, </w:t>
      </w:r>
      <w:r w:rsidRPr="00210EC7">
        <w:t>предъявленная поставщиком оборудования</w:t>
      </w:r>
      <w:r>
        <w:t xml:space="preserve">, </w:t>
      </w:r>
      <w:r w:rsidRPr="00210EC7">
        <w:t>учитывается в</w:t>
      </w:r>
      <w:r>
        <w:t xml:space="preserve"> </w:t>
      </w:r>
      <w:r w:rsidRPr="00210EC7">
        <w:t>его стоимости на</w:t>
      </w:r>
      <w:r>
        <w:t xml:space="preserve"> </w:t>
      </w:r>
      <w:r w:rsidRPr="00210EC7">
        <w:t>основании пп.</w:t>
      </w:r>
      <w:r>
        <w:t xml:space="preserve"> </w:t>
      </w:r>
      <w:r w:rsidRPr="00210EC7">
        <w:t>1</w:t>
      </w:r>
      <w:r>
        <w:t xml:space="preserve">, </w:t>
      </w:r>
      <w:r w:rsidRPr="00210EC7">
        <w:t>4 п.</w:t>
      </w:r>
      <w:r>
        <w:t xml:space="preserve"> </w:t>
      </w:r>
      <w:r w:rsidRPr="00210EC7">
        <w:t>2 ст.</w:t>
      </w:r>
      <w:r>
        <w:t xml:space="preserve"> </w:t>
      </w:r>
      <w:r w:rsidRPr="00210EC7">
        <w:t>170 и</w:t>
      </w:r>
      <w:r>
        <w:t xml:space="preserve"> </w:t>
      </w:r>
      <w:r w:rsidRPr="00210EC7">
        <w:t>пп.</w:t>
      </w:r>
      <w:r>
        <w:t xml:space="preserve"> </w:t>
      </w:r>
      <w:r w:rsidRPr="00210EC7">
        <w:t>4.1 п.</w:t>
      </w:r>
      <w:r>
        <w:t xml:space="preserve"> </w:t>
      </w:r>
      <w:r w:rsidRPr="00210EC7">
        <w:t>2 ст.</w:t>
      </w:r>
      <w:r>
        <w:t xml:space="preserve"> </w:t>
      </w:r>
      <w:r w:rsidRPr="00210EC7">
        <w:t>146 НК</w:t>
      </w:r>
      <w:r>
        <w:t xml:space="preserve"> </w:t>
      </w:r>
      <w:r w:rsidRPr="00210EC7">
        <w:t>РФ. Напомним</w:t>
      </w:r>
      <w:r>
        <w:t xml:space="preserve">, </w:t>
      </w:r>
      <w:r w:rsidRPr="00210EC7">
        <w:t>что</w:t>
      </w:r>
      <w:r>
        <w:t xml:space="preserve"> </w:t>
      </w:r>
      <w:r w:rsidRPr="00210EC7">
        <w:t>согласно пп.</w:t>
      </w:r>
      <w:r>
        <w:t xml:space="preserve"> </w:t>
      </w:r>
      <w:r w:rsidRPr="00210EC7">
        <w:t>4.1 п.</w:t>
      </w:r>
      <w:r>
        <w:t xml:space="preserve"> </w:t>
      </w:r>
      <w:r w:rsidRPr="00210EC7">
        <w:t>2 ст.</w:t>
      </w:r>
      <w:r>
        <w:t xml:space="preserve"> </w:t>
      </w:r>
      <w:r w:rsidRPr="00210EC7">
        <w:t>146 НК</w:t>
      </w:r>
      <w:r>
        <w:t xml:space="preserve"> </w:t>
      </w:r>
      <w:r w:rsidRPr="00210EC7">
        <w:t>РФ выполнение работ (оказание услуг) казенными учреждениями</w:t>
      </w:r>
      <w:r>
        <w:t xml:space="preserve">, </w:t>
      </w:r>
      <w:r w:rsidRPr="00210EC7">
        <w:t>а</w:t>
      </w:r>
      <w:r>
        <w:t xml:space="preserve"> </w:t>
      </w:r>
      <w:r w:rsidRPr="00210EC7">
        <w:t>также бюджетными и</w:t>
      </w:r>
      <w:r>
        <w:t xml:space="preserve"> </w:t>
      </w:r>
      <w:r w:rsidRPr="00210EC7">
        <w:t>автономными учреждениями в</w:t>
      </w:r>
      <w:r>
        <w:t xml:space="preserve"> </w:t>
      </w:r>
      <w:r w:rsidRPr="00210EC7">
        <w:t>рамках государственного (муниципального) задания</w:t>
      </w:r>
      <w:r>
        <w:t xml:space="preserve">, </w:t>
      </w:r>
      <w:r w:rsidRPr="00210EC7">
        <w:t>источником финансового обеспечения которого является субсидия из</w:t>
      </w:r>
      <w:r>
        <w:t xml:space="preserve"> </w:t>
      </w:r>
      <w:r w:rsidRPr="00210EC7">
        <w:t>соответствующего бюджета бюджетной системы</w:t>
      </w:r>
      <w:r>
        <w:t xml:space="preserve"> </w:t>
      </w:r>
      <w:r w:rsidRPr="00210EC7">
        <w:t>РФ</w:t>
      </w:r>
      <w:r>
        <w:t xml:space="preserve">, </w:t>
      </w:r>
      <w:r w:rsidRPr="00210EC7">
        <w:t>не</w:t>
      </w:r>
      <w:r>
        <w:t xml:space="preserve"> </w:t>
      </w:r>
      <w:r w:rsidRPr="00210EC7">
        <w:t>подлежит обложению (освобождается от</w:t>
      </w:r>
      <w:r>
        <w:t xml:space="preserve"> </w:t>
      </w:r>
      <w:r w:rsidRPr="00210EC7">
        <w:t>обложения НДС).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Приобретенное бюджетным учреждением с</w:t>
      </w:r>
      <w:r>
        <w:t xml:space="preserve"> </w:t>
      </w:r>
      <w:r w:rsidRPr="00210EC7">
        <w:t>использованием средств целевой субсидии оборудование для</w:t>
      </w:r>
      <w:r>
        <w:t xml:space="preserve"> </w:t>
      </w:r>
      <w:r w:rsidRPr="00210EC7">
        <w:t>целей налогообложения прибыли не</w:t>
      </w:r>
      <w:r>
        <w:t xml:space="preserve"> </w:t>
      </w:r>
      <w:r w:rsidRPr="00210EC7">
        <w:t>подлежит амортизации (пп.</w:t>
      </w:r>
      <w:r>
        <w:t xml:space="preserve"> </w:t>
      </w:r>
      <w:r w:rsidRPr="00210EC7">
        <w:t>3 п.</w:t>
      </w:r>
      <w:r>
        <w:t xml:space="preserve"> </w:t>
      </w:r>
      <w:r w:rsidRPr="00210EC7">
        <w:t>2 ст.</w:t>
      </w:r>
      <w:r>
        <w:t xml:space="preserve"> </w:t>
      </w:r>
      <w:r w:rsidRPr="00210EC7">
        <w:t>256 НК</w:t>
      </w:r>
      <w:r>
        <w:t xml:space="preserve"> </w:t>
      </w:r>
      <w:r w:rsidRPr="00210EC7">
        <w:t>РФ). То</w:t>
      </w:r>
      <w:r>
        <w:t xml:space="preserve"> </w:t>
      </w:r>
      <w:r w:rsidRPr="00210EC7">
        <w:t>есть стоимость этого имущества не</w:t>
      </w:r>
      <w:r>
        <w:t xml:space="preserve"> </w:t>
      </w:r>
      <w:r w:rsidRPr="00210EC7">
        <w:t>включается в</w:t>
      </w:r>
      <w:r>
        <w:t xml:space="preserve"> </w:t>
      </w:r>
      <w:r w:rsidRPr="00210EC7">
        <w:t>расходы учреждения в</w:t>
      </w:r>
      <w:r>
        <w:t xml:space="preserve"> </w:t>
      </w:r>
      <w:r w:rsidRPr="00210EC7">
        <w:t>целях исчисления налога на</w:t>
      </w:r>
      <w:r>
        <w:t xml:space="preserve"> </w:t>
      </w:r>
      <w:r w:rsidRPr="00210EC7">
        <w:t>прибыль</w:t>
      </w:r>
      <w:r>
        <w:t xml:space="preserve">, </w:t>
      </w:r>
      <w:r w:rsidRPr="00210EC7">
        <w:t>в</w:t>
      </w:r>
      <w:r>
        <w:t xml:space="preserve"> </w:t>
      </w:r>
      <w:r w:rsidRPr="00210EC7">
        <w:t>том числе в</w:t>
      </w:r>
      <w:r>
        <w:t xml:space="preserve"> </w:t>
      </w:r>
      <w:r w:rsidRPr="00210EC7">
        <w:t>форме амортизационных отчислений.</w:t>
      </w:r>
      <w:r>
        <w:t xml:space="preserve"> 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 xml:space="preserve"> [1] Приказ Росморречфлота от 02.12.2011 № 244.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[2] Утвержден Приказом Минкультуры РФ от 29.12.2011 № 1259.</w:t>
      </w:r>
    </w:p>
    <w:p w:rsidR="009C16FF" w:rsidRPr="00210EC7" w:rsidRDefault="009C16FF" w:rsidP="009C16FF">
      <w:pPr>
        <w:spacing w:before="120"/>
        <w:ind w:firstLine="567"/>
        <w:jc w:val="both"/>
      </w:pPr>
      <w:r w:rsidRPr="00210EC7">
        <w:t>[3] Приказ Минфина РФ от 01.12.2010 № 157н «Об утверждении Единого плана счетов бухгалтерского учета для органов государственной власти (государственных органов)</w:t>
      </w:r>
      <w:r>
        <w:t xml:space="preserve">, </w:t>
      </w:r>
      <w:r w:rsidRPr="00210EC7">
        <w:t>органов местного самоуправления</w:t>
      </w:r>
      <w:r>
        <w:t xml:space="preserve">, </w:t>
      </w:r>
      <w:r w:rsidRPr="00210EC7">
        <w:t>органов управления государственными внебюджетными фондами</w:t>
      </w:r>
      <w:r>
        <w:t xml:space="preserve">, </w:t>
      </w:r>
      <w:r w:rsidRPr="00210EC7">
        <w:t>государственных академий наук</w:t>
      </w:r>
      <w:r>
        <w:t xml:space="preserve">, </w:t>
      </w:r>
      <w:r w:rsidRPr="00210EC7">
        <w:t>государственных (муниципальных) учреждений и Инструкции по его применению».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3D76"/>
    <w:multiLevelType w:val="multilevel"/>
    <w:tmpl w:val="4F6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2DE3"/>
    <w:multiLevelType w:val="multilevel"/>
    <w:tmpl w:val="4C6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8261E"/>
    <w:multiLevelType w:val="multilevel"/>
    <w:tmpl w:val="E8F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95DA9"/>
    <w:multiLevelType w:val="multilevel"/>
    <w:tmpl w:val="DEBC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E206B"/>
    <w:multiLevelType w:val="multilevel"/>
    <w:tmpl w:val="D80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A132A"/>
    <w:multiLevelType w:val="multilevel"/>
    <w:tmpl w:val="D68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413160"/>
    <w:multiLevelType w:val="multilevel"/>
    <w:tmpl w:val="DFEC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B7163"/>
    <w:multiLevelType w:val="multilevel"/>
    <w:tmpl w:val="56B0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8071DF"/>
    <w:multiLevelType w:val="multilevel"/>
    <w:tmpl w:val="814E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A422E"/>
    <w:multiLevelType w:val="multilevel"/>
    <w:tmpl w:val="363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5112C"/>
    <w:multiLevelType w:val="multilevel"/>
    <w:tmpl w:val="E1F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D3675"/>
    <w:multiLevelType w:val="multilevel"/>
    <w:tmpl w:val="A92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C143F"/>
    <w:multiLevelType w:val="multilevel"/>
    <w:tmpl w:val="B858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D2EDD"/>
    <w:multiLevelType w:val="multilevel"/>
    <w:tmpl w:val="032C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6E6579"/>
    <w:multiLevelType w:val="multilevel"/>
    <w:tmpl w:val="3740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234B5E"/>
    <w:multiLevelType w:val="multilevel"/>
    <w:tmpl w:val="4D1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119A3"/>
    <w:multiLevelType w:val="multilevel"/>
    <w:tmpl w:val="8E9C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D63797"/>
    <w:multiLevelType w:val="multilevel"/>
    <w:tmpl w:val="ACF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C4955"/>
    <w:multiLevelType w:val="multilevel"/>
    <w:tmpl w:val="197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D291F"/>
    <w:multiLevelType w:val="multilevel"/>
    <w:tmpl w:val="ACC0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D90531"/>
    <w:multiLevelType w:val="multilevel"/>
    <w:tmpl w:val="A4CA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487CD5"/>
    <w:multiLevelType w:val="multilevel"/>
    <w:tmpl w:val="AE9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C2668"/>
    <w:multiLevelType w:val="multilevel"/>
    <w:tmpl w:val="3B84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C43325"/>
    <w:multiLevelType w:val="multilevel"/>
    <w:tmpl w:val="A1E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B84DB0"/>
    <w:multiLevelType w:val="multilevel"/>
    <w:tmpl w:val="1FD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B1122D"/>
    <w:multiLevelType w:val="multilevel"/>
    <w:tmpl w:val="E01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5502B"/>
    <w:multiLevelType w:val="multilevel"/>
    <w:tmpl w:val="A8A0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1F00AF"/>
    <w:multiLevelType w:val="multilevel"/>
    <w:tmpl w:val="E74C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17FFA"/>
    <w:multiLevelType w:val="multilevel"/>
    <w:tmpl w:val="C2B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886366"/>
    <w:multiLevelType w:val="multilevel"/>
    <w:tmpl w:val="F4E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760249"/>
    <w:multiLevelType w:val="multilevel"/>
    <w:tmpl w:val="C4F6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37DA5"/>
    <w:multiLevelType w:val="multilevel"/>
    <w:tmpl w:val="DED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3600CEA"/>
    <w:multiLevelType w:val="multilevel"/>
    <w:tmpl w:val="393A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F9387B"/>
    <w:multiLevelType w:val="multilevel"/>
    <w:tmpl w:val="FE72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C444A0"/>
    <w:multiLevelType w:val="multilevel"/>
    <w:tmpl w:val="C400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8"/>
  </w:num>
  <w:num w:numId="3">
    <w:abstractNumId w:val="15"/>
  </w:num>
  <w:num w:numId="4">
    <w:abstractNumId w:val="4"/>
  </w:num>
  <w:num w:numId="5">
    <w:abstractNumId w:val="2"/>
  </w:num>
  <w:num w:numId="6">
    <w:abstractNumId w:val="17"/>
  </w:num>
  <w:num w:numId="7">
    <w:abstractNumId w:val="30"/>
  </w:num>
  <w:num w:numId="8">
    <w:abstractNumId w:val="9"/>
  </w:num>
  <w:num w:numId="9">
    <w:abstractNumId w:val="3"/>
  </w:num>
  <w:num w:numId="10">
    <w:abstractNumId w:val="7"/>
  </w:num>
  <w:num w:numId="11">
    <w:abstractNumId w:val="32"/>
  </w:num>
  <w:num w:numId="12">
    <w:abstractNumId w:val="31"/>
  </w:num>
  <w:num w:numId="13">
    <w:abstractNumId w:val="13"/>
  </w:num>
  <w:num w:numId="14">
    <w:abstractNumId w:val="18"/>
  </w:num>
  <w:num w:numId="15">
    <w:abstractNumId w:val="0"/>
  </w:num>
  <w:num w:numId="16">
    <w:abstractNumId w:val="5"/>
  </w:num>
  <w:num w:numId="17">
    <w:abstractNumId w:val="12"/>
  </w:num>
  <w:num w:numId="18">
    <w:abstractNumId w:val="10"/>
  </w:num>
  <w:num w:numId="19">
    <w:abstractNumId w:val="8"/>
  </w:num>
  <w:num w:numId="20">
    <w:abstractNumId w:val="23"/>
  </w:num>
  <w:num w:numId="21">
    <w:abstractNumId w:val="16"/>
  </w:num>
  <w:num w:numId="22">
    <w:abstractNumId w:val="19"/>
  </w:num>
  <w:num w:numId="23">
    <w:abstractNumId w:val="33"/>
  </w:num>
  <w:num w:numId="24">
    <w:abstractNumId w:val="11"/>
  </w:num>
  <w:num w:numId="25">
    <w:abstractNumId w:val="14"/>
  </w:num>
  <w:num w:numId="26">
    <w:abstractNumId w:val="25"/>
  </w:num>
  <w:num w:numId="27">
    <w:abstractNumId w:val="1"/>
  </w:num>
  <w:num w:numId="28">
    <w:abstractNumId w:val="22"/>
  </w:num>
  <w:num w:numId="29">
    <w:abstractNumId w:val="6"/>
  </w:num>
  <w:num w:numId="30">
    <w:abstractNumId w:val="24"/>
  </w:num>
  <w:num w:numId="31">
    <w:abstractNumId w:val="29"/>
  </w:num>
  <w:num w:numId="32">
    <w:abstractNumId w:val="21"/>
  </w:num>
  <w:num w:numId="33">
    <w:abstractNumId w:val="26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6FF"/>
    <w:rsid w:val="000223A1"/>
    <w:rsid w:val="001A35F6"/>
    <w:rsid w:val="00210EC7"/>
    <w:rsid w:val="00217034"/>
    <w:rsid w:val="006614DC"/>
    <w:rsid w:val="00811DD4"/>
    <w:rsid w:val="009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7A4B07-424A-44E2-8453-CA0D0A5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F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16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C16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C16FF"/>
    <w:pPr>
      <w:outlineLvl w:val="2"/>
    </w:pPr>
    <w:rPr>
      <w:color w:val="000000"/>
      <w:sz w:val="22"/>
      <w:szCs w:val="22"/>
    </w:rPr>
  </w:style>
  <w:style w:type="paragraph" w:styleId="4">
    <w:name w:val="heading 4"/>
    <w:basedOn w:val="a"/>
    <w:link w:val="40"/>
    <w:uiPriority w:val="99"/>
    <w:qFormat/>
    <w:rsid w:val="009C16FF"/>
    <w:pPr>
      <w:spacing w:before="100" w:beforeAutospacing="1" w:after="100" w:afterAutospacing="1"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iPriority w:val="99"/>
    <w:qFormat/>
    <w:rsid w:val="009C16FF"/>
    <w:pPr>
      <w:keepNext/>
      <w:outlineLvl w:val="4"/>
    </w:pPr>
    <w:rPr>
      <w:rFonts w:ascii="Letter Gothic" w:hAnsi="Letter Gothic"/>
      <w:b/>
      <w:sz w:val="40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9C16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9C16FF"/>
    <w:rPr>
      <w:rFonts w:cs="Times New Roman"/>
      <w:color w:val="0066CC"/>
      <w:u w:val="single"/>
    </w:rPr>
  </w:style>
  <w:style w:type="paragraph" w:styleId="a4">
    <w:name w:val="Normal (Web)"/>
    <w:basedOn w:val="a"/>
    <w:uiPriority w:val="99"/>
    <w:rsid w:val="009C16FF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9C16FF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9C16FF"/>
    <w:rPr>
      <w:rFonts w:cs="Times New Roman"/>
      <w:i/>
      <w:iCs/>
    </w:rPr>
  </w:style>
  <w:style w:type="paragraph" w:customStyle="1" w:styleId="blocktext">
    <w:name w:val="blocktext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c">
    <w:name w:val="c"/>
    <w:basedOn w:val="a"/>
    <w:uiPriority w:val="99"/>
    <w:rsid w:val="009C16FF"/>
    <w:pPr>
      <w:spacing w:before="100" w:beforeAutospacing="1" w:after="100" w:afterAutospacing="1"/>
    </w:pPr>
  </w:style>
  <w:style w:type="character" w:customStyle="1" w:styleId="style1">
    <w:name w:val="style1"/>
    <w:basedOn w:val="a0"/>
    <w:uiPriority w:val="99"/>
    <w:rsid w:val="009C16FF"/>
    <w:rPr>
      <w:rFonts w:cs="Times New Roman"/>
    </w:rPr>
  </w:style>
  <w:style w:type="paragraph" w:customStyle="1" w:styleId="newsdate">
    <w:name w:val="news_date"/>
    <w:basedOn w:val="a"/>
    <w:uiPriority w:val="99"/>
    <w:rsid w:val="009C16FF"/>
    <w:pPr>
      <w:spacing w:before="100" w:beforeAutospacing="1" w:after="100" w:afterAutospacing="1"/>
    </w:pPr>
  </w:style>
  <w:style w:type="character" w:customStyle="1" w:styleId="skypepnhtextspan">
    <w:name w:val="skype_pnh_text_span"/>
    <w:basedOn w:val="a0"/>
    <w:uiPriority w:val="99"/>
    <w:rsid w:val="009C16FF"/>
    <w:rPr>
      <w:rFonts w:cs="Times New Roman"/>
    </w:rPr>
  </w:style>
  <w:style w:type="paragraph" w:customStyle="1" w:styleId="kategoria">
    <w:name w:val="kategoria"/>
    <w:basedOn w:val="a"/>
    <w:uiPriority w:val="99"/>
    <w:rsid w:val="009C16FF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9C16F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rsid w:val="009C16F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FollowedHyperlink"/>
    <w:basedOn w:val="a0"/>
    <w:uiPriority w:val="99"/>
    <w:rsid w:val="009C16FF"/>
    <w:rPr>
      <w:rFonts w:cs="Times New Roman"/>
      <w:color w:val="800080"/>
      <w:u w:val="single"/>
    </w:rPr>
  </w:style>
  <w:style w:type="character" w:styleId="ac">
    <w:name w:val="footnote reference"/>
    <w:basedOn w:val="a0"/>
    <w:uiPriority w:val="99"/>
    <w:rsid w:val="009C16FF"/>
    <w:rPr>
      <w:rFonts w:ascii="Times New Roman" w:hAnsi="Times New Roman" w:cs="Times New Roman"/>
      <w:vertAlign w:val="superscript"/>
    </w:rPr>
  </w:style>
  <w:style w:type="paragraph" w:styleId="ad">
    <w:name w:val="footnote text"/>
    <w:basedOn w:val="a"/>
    <w:link w:val="ae"/>
    <w:uiPriority w:val="99"/>
    <w:rsid w:val="009C16FF"/>
    <w:pPr>
      <w:spacing w:before="100" w:beforeAutospacing="1" w:after="100" w:afterAutospacing="1"/>
    </w:pPr>
  </w:style>
  <w:style w:type="character" w:customStyle="1" w:styleId="ae">
    <w:name w:val="Текст виноски Знак"/>
    <w:basedOn w:val="a0"/>
    <w:link w:val="ad"/>
    <w:uiPriority w:val="99"/>
    <w:semiHidden/>
    <w:rPr>
      <w:sz w:val="20"/>
      <w:szCs w:val="20"/>
    </w:rPr>
  </w:style>
  <w:style w:type="paragraph" w:customStyle="1" w:styleId="intro">
    <w:name w:val="intro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cap">
    <w:name w:val="cap"/>
    <w:basedOn w:val="a"/>
    <w:uiPriority w:val="99"/>
    <w:rsid w:val="009C16FF"/>
    <w:pPr>
      <w:spacing w:before="100" w:beforeAutospacing="1" w:after="100" w:afterAutospacing="1"/>
    </w:pPr>
  </w:style>
  <w:style w:type="paragraph" w:styleId="af">
    <w:name w:val="Title"/>
    <w:basedOn w:val="a"/>
    <w:link w:val="af0"/>
    <w:uiPriority w:val="99"/>
    <w:qFormat/>
    <w:rsid w:val="009C16FF"/>
    <w:pPr>
      <w:jc w:val="center"/>
    </w:pPr>
    <w:rPr>
      <w:b/>
      <w:sz w:val="28"/>
      <w:szCs w:val="20"/>
    </w:rPr>
  </w:style>
  <w:style w:type="character" w:customStyle="1" w:styleId="af0">
    <w:name w:val="Назва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ight1">
    <w:name w:val="right1"/>
    <w:basedOn w:val="a0"/>
    <w:uiPriority w:val="99"/>
    <w:rsid w:val="009C16FF"/>
    <w:rPr>
      <w:rFonts w:cs="Times New Roman"/>
    </w:rPr>
  </w:style>
  <w:style w:type="paragraph" w:styleId="HTML">
    <w:name w:val="HTML Preformatted"/>
    <w:basedOn w:val="a"/>
    <w:link w:val="HTML0"/>
    <w:uiPriority w:val="99"/>
    <w:rsid w:val="009C1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f1">
    <w:name w:val="Subtitle"/>
    <w:basedOn w:val="a"/>
    <w:link w:val="af2"/>
    <w:uiPriority w:val="99"/>
    <w:qFormat/>
    <w:rsid w:val="009C16FF"/>
    <w:pPr>
      <w:jc w:val="center"/>
    </w:pPr>
    <w:rPr>
      <w:rFonts w:ascii="Letter Gothic" w:hAnsi="Letter Gothic"/>
      <w:b/>
      <w:sz w:val="52"/>
      <w:szCs w:val="20"/>
    </w:rPr>
  </w:style>
  <w:style w:type="character" w:customStyle="1" w:styleId="af2">
    <w:name w:val="Підзаголовок Знак"/>
    <w:basedOn w:val="a0"/>
    <w:link w:val="af1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Body Text"/>
    <w:basedOn w:val="a"/>
    <w:link w:val="af4"/>
    <w:uiPriority w:val="99"/>
    <w:rsid w:val="009C16FF"/>
    <w:pPr>
      <w:jc w:val="center"/>
    </w:pPr>
    <w:rPr>
      <w:rFonts w:ascii="Letter Gothic" w:hAnsi="Letter Gothic"/>
      <w:sz w:val="40"/>
      <w:szCs w:val="20"/>
    </w:rPr>
  </w:style>
  <w:style w:type="character" w:customStyle="1" w:styleId="af4">
    <w:name w:val="Основний текст Знак"/>
    <w:basedOn w:val="a0"/>
    <w:link w:val="af3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9C16FF"/>
    <w:rPr>
      <w:color w:val="808080"/>
      <w:sz w:val="16"/>
      <w:szCs w:val="20"/>
    </w:rPr>
  </w:style>
  <w:style w:type="character" w:customStyle="1" w:styleId="32">
    <w:name w:val="Основний текст 3 Знак"/>
    <w:basedOn w:val="a0"/>
    <w:link w:val="31"/>
    <w:uiPriority w:val="99"/>
    <w:semiHidden/>
    <w:rPr>
      <w:sz w:val="16"/>
      <w:szCs w:val="16"/>
    </w:rPr>
  </w:style>
  <w:style w:type="paragraph" w:styleId="af5">
    <w:name w:val="caption"/>
    <w:basedOn w:val="a"/>
    <w:uiPriority w:val="99"/>
    <w:qFormat/>
    <w:rsid w:val="009C16FF"/>
    <w:pPr>
      <w:jc w:val="center"/>
    </w:pPr>
    <w:rPr>
      <w:b/>
      <w:sz w:val="28"/>
      <w:szCs w:val="20"/>
    </w:rPr>
  </w:style>
  <w:style w:type="table" w:styleId="af6">
    <w:name w:val="Table Grid"/>
    <w:basedOn w:val="a1"/>
    <w:uiPriority w:val="99"/>
    <w:rsid w:val="009C16F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uiPriority w:val="99"/>
    <w:rsid w:val="009C16FF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a"/>
    <w:uiPriority w:val="99"/>
    <w:rsid w:val="009C16FF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locked/>
    <w:rsid w:val="009C16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bodysubtitlearticle">
    <w:name w:val="bodysubtitlearticle"/>
    <w:basedOn w:val="a"/>
    <w:uiPriority w:val="99"/>
    <w:rsid w:val="009C16FF"/>
    <w:pPr>
      <w:spacing w:before="100" w:beforeAutospacing="1" w:after="100" w:afterAutospacing="1"/>
    </w:pPr>
  </w:style>
  <w:style w:type="character" w:customStyle="1" w:styleId="afa">
    <w:name w:val="Текст у виносці Знак"/>
    <w:basedOn w:val="a0"/>
    <w:link w:val="af9"/>
    <w:uiPriority w:val="99"/>
    <w:locked/>
    <w:rsid w:val="009C16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bodyfirstparagraphdropcapsarticle">
    <w:name w:val="bodyfirstparagraphdropcapsarticle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bodyarticle">
    <w:name w:val="bodyarticle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sovet">
    <w:name w:val="sovet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bodysubtitleiiarticle">
    <w:name w:val="bodysubtitleiiarticle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primerusloviyeprimer">
    <w:name w:val="primerusloviyeprimer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primerbodyprimer">
    <w:name w:val="primerbodyprimer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introarticle">
    <w:name w:val="introarticle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sovetarticle">
    <w:name w:val="sovetarticle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tablesnoskiprimer">
    <w:name w:val="tablesnoskiprimer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afb">
    <w:name w:val="a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bodyarticle1">
    <w:name w:val="bodyarticle1"/>
    <w:basedOn w:val="a"/>
    <w:uiPriority w:val="99"/>
    <w:rsid w:val="009C16F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9C16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2941</Words>
  <Characters>16770</Characters>
  <Application>Microsoft Office Word</Application>
  <DocSecurity>0</DocSecurity>
  <Lines>139</Lines>
  <Paragraphs>39</Paragraphs>
  <ScaleCrop>false</ScaleCrop>
  <Company>Home</Company>
  <LinksUpToDate>false</LinksUpToDate>
  <CharactersWithSpaces>19672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Субсидии на иные цели: приобретение и учет основных средств</dc:title>
  <dc:subject/>
  <dc:creator>User</dc:creator>
  <cp:keywords/>
  <dc:description/>
  <cp:lastModifiedBy>Irina</cp:lastModifiedBy>
  <cp:revision>2</cp:revision>
  <dcterms:created xsi:type="dcterms:W3CDTF">2014-07-19T06:29:00Z</dcterms:created>
  <dcterms:modified xsi:type="dcterms:W3CDTF">2014-07-19T06:29:00Z</dcterms:modified>
</cp:coreProperties>
</file>