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3D4744">
        <w:tc>
          <w:tcPr>
            <w:tcW w:w="3190" w:type="dxa"/>
          </w:tcPr>
          <w:p w:rsidR="003D4744" w:rsidRDefault="003D4744" w:rsidP="00C705AC">
            <w:pPr>
              <w:rPr>
                <w:rFonts w:ascii="Verdana" w:hAnsi="Verdana" w:cs="Verdana"/>
                <w:color w:val="000000"/>
                <w:sz w:val="14"/>
                <w:szCs w:val="14"/>
              </w:rPr>
            </w:pPr>
          </w:p>
          <w:p w:rsidR="003D4744" w:rsidRDefault="003D4744" w:rsidP="00C705AC">
            <w:r>
              <w:br w:type="page"/>
            </w:r>
          </w:p>
          <w:p w:rsidR="003D4744" w:rsidRDefault="003D4744" w:rsidP="00C705AC">
            <w:pPr>
              <w:rPr>
                <w:sz w:val="14"/>
                <w:szCs w:val="14"/>
              </w:rPr>
            </w:pPr>
            <w:r>
              <w:rPr>
                <w:rStyle w:val="ttl1"/>
                <w:sz w:val="14"/>
                <w:szCs w:val="14"/>
              </w:rPr>
              <w:t xml:space="preserve">Вклад российской культуры XIX в. в мировую культуру. </w:t>
            </w:r>
            <w:r>
              <w:rPr>
                <w:rFonts w:ascii="Arial" w:hAnsi="Arial" w:cs="Arial"/>
                <w:sz w:val="14"/>
                <w:szCs w:val="14"/>
              </w:rPr>
              <w:br/>
            </w:r>
            <w:r>
              <w:rPr>
                <w:rFonts w:ascii="Arial" w:hAnsi="Arial" w:cs="Arial"/>
                <w:sz w:val="14"/>
                <w:szCs w:val="14"/>
              </w:rPr>
              <w:br/>
              <w:t>    Российская культура развивалась в XIX в. под несомненным влиянием тех событий и перемен, которые происходили в обществе. Отечественная война 1812 г., восстание на Сенатской площади, споры*западников и славянофилов, отмена крепостного права, «великие реформы», бурный промышленный рост, железнодорожная лихорадка, террор «Народной воли», «нечаевщина», газетные отчеты о судебных процессах — все значимые факты общественной жизни находили отражение и получали художественное осмысление в искусстве и культуре.</w:t>
            </w:r>
            <w:r>
              <w:rPr>
                <w:rFonts w:ascii="Arial" w:hAnsi="Arial" w:cs="Arial"/>
                <w:sz w:val="14"/>
                <w:szCs w:val="14"/>
              </w:rPr>
              <w:br/>
              <w:t>    </w:t>
            </w:r>
            <w:r>
              <w:rPr>
                <w:rFonts w:ascii="Arial" w:hAnsi="Arial" w:cs="Arial"/>
                <w:sz w:val="14"/>
                <w:szCs w:val="14"/>
              </w:rPr>
              <w:br/>
              <w:t>     XIX век — время расцвета русской классической культуры, о которой уже современники говорили как о великой, имевшей мировое значение.</w:t>
            </w:r>
            <w:r>
              <w:rPr>
                <w:rFonts w:ascii="Arial" w:hAnsi="Arial" w:cs="Arial"/>
                <w:sz w:val="14"/>
                <w:szCs w:val="14"/>
              </w:rPr>
              <w:br/>
              <w:t>    </w:t>
            </w:r>
            <w:r>
              <w:rPr>
                <w:rFonts w:ascii="Arial" w:hAnsi="Arial" w:cs="Arial"/>
                <w:sz w:val="14"/>
                <w:szCs w:val="14"/>
              </w:rPr>
              <w:br/>
              <w:t>     (О культуре России первой половины XIX в. и ее вкладе в мировую культуры см. билет № 21.)</w:t>
            </w:r>
            <w:r>
              <w:rPr>
                <w:rFonts w:ascii="Arial" w:hAnsi="Arial" w:cs="Arial"/>
                <w:sz w:val="14"/>
                <w:szCs w:val="14"/>
              </w:rPr>
              <w:br/>
              <w:t>    </w:t>
            </w:r>
            <w:r>
              <w:rPr>
                <w:rFonts w:ascii="Arial" w:hAnsi="Arial" w:cs="Arial"/>
                <w:sz w:val="14"/>
                <w:szCs w:val="14"/>
              </w:rPr>
              <w:br/>
              <w:t>     Пореформенное общество предъявляло новые требования к образованию. Школьная реформа 1862—1864гг. внесла существенные изменения в структуру начального и среднего образования. Был закреплен принцип бессословности школьного обучения. Основным типом начальных учебных заведений становилась земская трехгодичная школа. Гимназии также открывались для детей всех сословий (единственным ограничением становился высокий уровень платы за обучение). Гимназии разделили на классические, где основное внимание уделялось гуманитарным предметам, и реальные, которые специализировались на изучении естественных и точных наук. Открывались женские гимназии. Университетский устав 1863 г. восстанавливал отнятую в 1835 г. автономию, разрешалось учреждать высшие женские курсы с университетской программой (курсы Герье в Москве, Бестужевские курсы в Петербурге). В 80—90-е гг. XIX в., когда министром просвещения стал известный реакционер Д. А. Толстой, много ценного в сфере образования было утрачено: новый университетский устав 1884 г. отобрал у университетов автономию, высшие женские курсы расформированы, программа классической гимназии пересмотрена в сторону резкого увеличения часов на изучение «мертвых» языков, печально знаменитый циркуляр о «кухаркиных детях» (1887) запретил принимать в гимназию детей «подлых» сословий. И тем не менее система образования в России в пореформенные годы сделала значительный шаг вперед, резко выросло количество обучающихся, открылись новые университеты (в Одессе, в Томске) и высшие учебные заведения (Петровская академия, Институт инженеров путей сообщения, Горный и Технологический институты и др.).</w:t>
            </w:r>
            <w:r>
              <w:rPr>
                <w:rFonts w:ascii="Arial" w:hAnsi="Arial" w:cs="Arial"/>
                <w:sz w:val="14"/>
                <w:szCs w:val="14"/>
              </w:rPr>
              <w:br/>
              <w:t>    </w:t>
            </w:r>
            <w:r>
              <w:rPr>
                <w:rFonts w:ascii="Arial" w:hAnsi="Arial" w:cs="Arial"/>
                <w:sz w:val="14"/>
                <w:szCs w:val="14"/>
              </w:rPr>
              <w:br/>
              <w:t>     На подъеме находилась наука. Ее центрами, как и в предыдущие годы, были университеты и научные общества (в пореформенные годы созданы Общество русских врачей, Русское астрономическое общество, Русское химическое общество и др.). Быстрый промышленный рост предопределил расцвет естественных и точных наук. Исследования И. М. Сеченова (о рефлексах головного мозга и физиологии нервной системы) заложили основы учения о высшей нервной деятельности. И. П. Павлов в 1904 г. получил Нобелевскую премию за открытия в области нейрофизиологии. Важные открытия в биологии были сделаны И. И. Мечниковым (иммунитет и защитные механизмы организма) и К. А. Тимирязевым (явление фотосинтеза). В 1869 г. Д. И. Менделеев сформулировал периодический закон физических элементов. Работы А. М. Бутлерова внесли важный вклад в теорию химического строения органических веществ. П. Л. Чебышев, С. В. Ковалевская, А. М. Ляпунов принесли славу русской математической школе. Физик А. Г. Столетов создал классические работы по электричеству, П. Н. Яблочков разработал конструкцию лампы накаливания. С именем А. Ф. Можайского связаны крупные открытия в области воздухоплавания. К. Э. Циолковский заложил в эти годы основы ракетного движения. Огромное значение имели путешествия П. П. Семенова-Тян-Шанского, Н. М. Пржевальского, Н. Н. Миклухо-Маклая и др. Классикой русской исторической науки признаны работы С. М. Соловьева, В. О. Ключевского, Н. И. Костомарова.</w:t>
            </w:r>
            <w:r>
              <w:rPr>
                <w:rFonts w:ascii="Arial" w:hAnsi="Arial" w:cs="Arial"/>
                <w:sz w:val="14"/>
                <w:szCs w:val="14"/>
              </w:rPr>
              <w:br/>
              <w:t>    </w:t>
            </w:r>
            <w:r>
              <w:rPr>
                <w:rFonts w:ascii="Arial" w:hAnsi="Arial" w:cs="Arial"/>
                <w:sz w:val="14"/>
                <w:szCs w:val="14"/>
              </w:rPr>
              <w:br/>
              <w:t>     Вторая половина XIX в. — эпоха мирового признания русской классической литературы. Это время Л.Н.Толстого («Война и мир», «Анна Каренина», «Воскресение» и др.), Ф. М. Достоевского («Братья Карамазовы», «Бесы», «Идиот» и др.), И. С. Тургенева («Отцы и дети»), И. А. Гончарова («Обломов»), А. П. Чехова («Степь», «Дядя Ваня», «Чайка» и др.), Н. С. Лескова, А. А. Фета, Ф. И. Тютчева, Н. А. Некрасова, М. Е. Салтыкова-Щедрина.</w:t>
            </w:r>
            <w:r>
              <w:rPr>
                <w:rFonts w:ascii="Arial" w:hAnsi="Arial" w:cs="Arial"/>
                <w:sz w:val="14"/>
                <w:szCs w:val="14"/>
              </w:rPr>
              <w:br/>
              <w:t>    </w:t>
            </w:r>
            <w:r>
              <w:rPr>
                <w:rFonts w:ascii="Arial" w:hAnsi="Arial" w:cs="Arial"/>
                <w:sz w:val="14"/>
                <w:szCs w:val="14"/>
              </w:rPr>
              <w:br/>
              <w:t>     Вторая половина XIX в. — одна из лучших страниц истории русской живописи. Многое восходит к знаменитому «бунту четырнадцати», когда группа молодых художников во главе с И. Н. Крамским покинула Академию художеств, протестуя против академической рутины, ремесленничества, ухода от злободневных проблем. Это произошло в 1863 г., а с 1870 г. было создано Товарищество передвижных художественных выставок. «Передвижники» (И. Н. Крамской, И. И. Левитан, В. Г. Перов, Н. А. Яро-шенко и др.) считали необходимым показывать свои работы всей России, не замыкаться в стенах столичных выставочных залов. Их картины посвящены России. Прекрасны пейзажи И. И. Левитана («Март», «Осень», «Над вечным покоем»), И. И. Шишкина («Дубовая роща», «Рожь»), А. К. Саврасова («Грачи прилетели»). Сцены из народной жизни и люди из народа запечатлены на полотнах Г. Г. Мясоедова («Земство обедает»), В.М.Максимова («У своей полосы»), Н. А. Ярошенко («Кочегар», «Всюду жизнь»). В. И. Суриков («Утро стрелецкой казни», «Боярыня Морозова»), Н. Н. Ге («Царь Петр и царевич Алексей») посвящали свои картины русской истории. Разносторонне творчество И. Е. Репина («Бурлаки на Волге», «Заседание Государственного совета», «Не ждали» и др.). Прекрасны работы скульптора М. М. Антокольского («Иван Грозный», «Петр I» и др.).</w:t>
            </w:r>
            <w:r>
              <w:rPr>
                <w:rFonts w:ascii="Arial" w:hAnsi="Arial" w:cs="Arial"/>
                <w:sz w:val="14"/>
                <w:szCs w:val="14"/>
              </w:rPr>
              <w:br/>
              <w:t>    </w:t>
            </w:r>
            <w:r>
              <w:rPr>
                <w:rFonts w:ascii="Arial" w:hAnsi="Arial" w:cs="Arial"/>
                <w:sz w:val="14"/>
                <w:szCs w:val="14"/>
              </w:rPr>
              <w:br/>
              <w:t>     В архитектуре господствовал русско-византийский стиль с его стремлением «объять необъятное», «объединить несоединимое». Позднее возникло увлечение древнерусским зодчеством, готикой, неоклассицизмом. Внедрялись новые материалы — цемент, железобетон, металлические конструкции. Больших свершений не было, но исподволь вырабатывались принципы и образы нового архитектурного стиля — стиля модерн.</w:t>
            </w:r>
            <w:r>
              <w:rPr>
                <w:rFonts w:ascii="Arial" w:hAnsi="Arial" w:cs="Arial"/>
                <w:sz w:val="14"/>
                <w:szCs w:val="14"/>
              </w:rPr>
              <w:br/>
              <w:t>    </w:t>
            </w:r>
            <w:r>
              <w:rPr>
                <w:rFonts w:ascii="Arial" w:hAnsi="Arial" w:cs="Arial"/>
                <w:sz w:val="14"/>
                <w:szCs w:val="14"/>
              </w:rPr>
              <w:br/>
              <w:t>     Замечательны достижения русского музыкаль ного искусства. «Могучая кучка» объединила М. А. Балакирева, М. П. Мусоргского (оперы «Хованщина», «Борис Годунов»), Н. А. Римского-Кор-сакова (оперы «Садко», «Царская невеста» и др.), А. П. Бородина (опера «Князь Игорь»). И на этом блестящем фоне выделяется творчество П. И. Чайковского (оперы «Пиковая дама», «Евгений Онегин», «Мазепа», балеты «Лебединое озеро», «Щелкунчик» и др.).</w:t>
            </w:r>
            <w:r>
              <w:rPr>
                <w:rFonts w:ascii="Arial" w:hAnsi="Arial" w:cs="Arial"/>
                <w:sz w:val="14"/>
                <w:szCs w:val="14"/>
              </w:rPr>
              <w:br/>
              <w:t>    </w:t>
            </w:r>
            <w:r>
              <w:rPr>
                <w:rFonts w:ascii="Arial" w:hAnsi="Arial" w:cs="Arial"/>
                <w:sz w:val="14"/>
                <w:szCs w:val="14"/>
              </w:rPr>
              <w:br/>
              <w:t xml:space="preserve">     Как и раньше, привлекали зрителей Малый театр, получивший в эти годы почетное звание «Дома Островского», Александрийский театр и др. В 1898г. К. С. Станиславский и В. И. Немирович-Данченко основали знаменитый Московский Художественный театр, открывший для мировой культуры новые горизонты театрального искусства. </w:t>
            </w:r>
            <w:r>
              <w:rPr>
                <w:rFonts w:ascii="Arial" w:hAnsi="Arial" w:cs="Arial"/>
                <w:sz w:val="14"/>
                <w:szCs w:val="14"/>
              </w:rPr>
              <w:br/>
              <w:t>    </w:t>
            </w:r>
          </w:p>
          <w:p w:rsidR="003D4744" w:rsidRDefault="003D4744" w:rsidP="00C705AC"/>
        </w:tc>
        <w:tc>
          <w:tcPr>
            <w:tcW w:w="3190" w:type="dxa"/>
          </w:tcPr>
          <w:p w:rsidR="003D4744" w:rsidRDefault="003D4744" w:rsidP="00C705AC">
            <w:pPr>
              <w:rPr>
                <w:sz w:val="14"/>
                <w:szCs w:val="14"/>
              </w:rPr>
            </w:pPr>
            <w:r>
              <w:rPr>
                <w:rStyle w:val="ttl1"/>
                <w:sz w:val="14"/>
                <w:szCs w:val="14"/>
              </w:rPr>
              <w:t xml:space="preserve">Россия в системе современных международных отношений. </w:t>
            </w:r>
            <w:r>
              <w:rPr>
                <w:rFonts w:ascii="Arial" w:hAnsi="Arial" w:cs="Arial"/>
                <w:sz w:val="14"/>
                <w:szCs w:val="14"/>
              </w:rPr>
              <w:br/>
            </w:r>
            <w:r>
              <w:rPr>
                <w:rFonts w:ascii="Arial" w:hAnsi="Arial" w:cs="Arial"/>
                <w:sz w:val="14"/>
                <w:szCs w:val="14"/>
              </w:rPr>
              <w:br/>
              <w:t>    Распад СССР имел серьезные геополитические последствия. Двухполярная система международных отношений, определявшаяся стратегическим противостоянием СССР и США, ушла в прошлое. Государства — участники мировой политики столкнулись с необходимостью заново определять свои внешнеполитические приоритеты, ориентиры, союзы.</w:t>
            </w:r>
            <w:r>
              <w:rPr>
                <w:rFonts w:ascii="Arial" w:hAnsi="Arial" w:cs="Arial"/>
                <w:sz w:val="14"/>
                <w:szCs w:val="14"/>
              </w:rPr>
              <w:br/>
              <w:t>    </w:t>
            </w:r>
            <w:r>
              <w:rPr>
                <w:rFonts w:ascii="Arial" w:hAnsi="Arial" w:cs="Arial"/>
                <w:sz w:val="14"/>
                <w:szCs w:val="14"/>
              </w:rPr>
              <w:br/>
              <w:t>     Россия в этом смысле решала те же задачи, что и другие ведущие страны. Но масштаб, сложность, характер стоящих перед российской внешней политикой проблем уникальны.</w:t>
            </w:r>
            <w:r>
              <w:rPr>
                <w:rFonts w:ascii="Arial" w:hAnsi="Arial" w:cs="Arial"/>
                <w:sz w:val="14"/>
                <w:szCs w:val="14"/>
              </w:rPr>
              <w:br/>
              <w:t>    </w:t>
            </w:r>
            <w:r>
              <w:rPr>
                <w:rFonts w:ascii="Arial" w:hAnsi="Arial" w:cs="Arial"/>
                <w:sz w:val="14"/>
                <w:szCs w:val="14"/>
              </w:rPr>
              <w:br/>
              <w:t>     В 1992 г. Российская Федерация добилась подтверждения своего международного статуса как правопреемника СССР, постоянного члена Совета Безопасности ООН, крупной ядерной державы. В рамках созданного в конце 1991 г. Содружества Независимых Государств (СНГ) Россия заняла соответствующее ее геостратегическому, экономическому, демографическому, военному потенциалу лидирующее положение, заявила о том, что рассматривает СНГ как сферу своих жизненных интересов. Тогда же определились главные направления российской внешней политики: отношения со странами ближнего зарубежья (бывшими республиками СССР, ставшими суверенными независимыми государствами) и отношения с ведущими мировыми державами (США, страны Западной Европы, Японией, Китаем и др.).</w:t>
            </w:r>
            <w:r>
              <w:rPr>
                <w:rFonts w:ascii="Arial" w:hAnsi="Arial" w:cs="Arial"/>
                <w:sz w:val="14"/>
                <w:szCs w:val="14"/>
              </w:rPr>
              <w:br/>
              <w:t>    </w:t>
            </w:r>
            <w:r>
              <w:rPr>
                <w:rFonts w:ascii="Arial" w:hAnsi="Arial" w:cs="Arial"/>
                <w:sz w:val="14"/>
                <w:szCs w:val="14"/>
              </w:rPr>
              <w:br/>
              <w:t>     Отношения со странами ближнего зарубежья. Наиболее острые проблемы связаны с:</w:t>
            </w:r>
            <w:r>
              <w:rPr>
                <w:rFonts w:ascii="Arial" w:hAnsi="Arial" w:cs="Arial"/>
                <w:sz w:val="14"/>
                <w:szCs w:val="14"/>
              </w:rPr>
              <w:br/>
              <w:t>    </w:t>
            </w:r>
            <w:r>
              <w:rPr>
                <w:rFonts w:ascii="Arial" w:hAnsi="Arial" w:cs="Arial"/>
                <w:sz w:val="14"/>
                <w:szCs w:val="14"/>
              </w:rPr>
              <w:br/>
              <w:t>     — созданием механизмов и структур в рамках СНГ, которые позволили бы решать проблемы безопасности, экономического и политического взаимодействия;</w:t>
            </w:r>
            <w:r>
              <w:rPr>
                <w:rFonts w:ascii="Arial" w:hAnsi="Arial" w:cs="Arial"/>
                <w:sz w:val="14"/>
                <w:szCs w:val="14"/>
              </w:rPr>
              <w:br/>
              <w:t>    </w:t>
            </w:r>
            <w:r>
              <w:rPr>
                <w:rFonts w:ascii="Arial" w:hAnsi="Arial" w:cs="Arial"/>
                <w:sz w:val="14"/>
                <w:szCs w:val="14"/>
              </w:rPr>
              <w:br/>
              <w:t>     — судьбой огромного военного потенциала распавшегося СССР;</w:t>
            </w:r>
            <w:r>
              <w:rPr>
                <w:rFonts w:ascii="Arial" w:hAnsi="Arial" w:cs="Arial"/>
                <w:sz w:val="14"/>
                <w:szCs w:val="14"/>
              </w:rPr>
              <w:br/>
              <w:t>    </w:t>
            </w:r>
            <w:r>
              <w:rPr>
                <w:rFonts w:ascii="Arial" w:hAnsi="Arial" w:cs="Arial"/>
                <w:sz w:val="14"/>
                <w:szCs w:val="14"/>
              </w:rPr>
              <w:br/>
              <w:t>     — защитой интересов русскоязычного населения (25 млн человек), оказавшегося вне пределов России;— налаживанием двусторонних политических, экономических, военно-стратегических отношений.</w:t>
            </w:r>
            <w:r>
              <w:rPr>
                <w:rFonts w:ascii="Arial" w:hAnsi="Arial" w:cs="Arial"/>
                <w:sz w:val="14"/>
                <w:szCs w:val="14"/>
              </w:rPr>
              <w:br/>
              <w:t>    </w:t>
            </w:r>
            <w:r>
              <w:rPr>
                <w:rFonts w:ascii="Arial" w:hAnsi="Arial" w:cs="Arial"/>
                <w:sz w:val="14"/>
                <w:szCs w:val="14"/>
              </w:rPr>
              <w:br/>
              <w:t>     Важными достижениями 1992—1993 гг. были принятие Устава СНГ, подписание договора о коллективной безопасности, начало вывода российских войск из Прибалтики, Грузии, Молдовы, Армении, участие России в урегулировании приднестровского, осетино-грузинского, грузино-абхазского, таджикского конфликтов.</w:t>
            </w:r>
            <w:r>
              <w:rPr>
                <w:rFonts w:ascii="Arial" w:hAnsi="Arial" w:cs="Arial"/>
                <w:sz w:val="14"/>
                <w:szCs w:val="14"/>
              </w:rPr>
              <w:br/>
              <w:t>    </w:t>
            </w:r>
            <w:r>
              <w:rPr>
                <w:rFonts w:ascii="Arial" w:hAnsi="Arial" w:cs="Arial"/>
                <w:sz w:val="14"/>
                <w:szCs w:val="14"/>
              </w:rPr>
              <w:br/>
              <w:t>     Опыт первых лет показал, что взаимодействие в рамках СНГ складывается непросто, возникают серьезные проблемы и даже кризисы. В частности, не все страны подписали Устав СНГ и договор о коллективной безопасности, тяжело решались вопросы экспорта российских энергоносителей и др. Вместе с тем просьбы руководства Грузии, Армении, Таджикистана и других стран о создании российских военных баз на их территории доказывали заинтересованность в сохранении и углублении сотрудничества.</w:t>
            </w:r>
            <w:r>
              <w:rPr>
                <w:rFonts w:ascii="Arial" w:hAnsi="Arial" w:cs="Arial"/>
                <w:sz w:val="14"/>
                <w:szCs w:val="14"/>
              </w:rPr>
              <w:br/>
              <w:t>    </w:t>
            </w:r>
            <w:r>
              <w:rPr>
                <w:rFonts w:ascii="Arial" w:hAnsi="Arial" w:cs="Arial"/>
                <w:sz w:val="14"/>
                <w:szCs w:val="14"/>
              </w:rPr>
              <w:br/>
              <w:t>     В 1994 г. было принято решение о создании Межгосударственного экономического комитета и формировании Таможенного союза. В марте 1996 г. Россия, Белоруссия, Казахстан и Киргизия подписали договор «Об углублении интеграции в экономической и гуманитарной областях».</w:t>
            </w:r>
            <w:r>
              <w:rPr>
                <w:rFonts w:ascii="Arial" w:hAnsi="Arial" w:cs="Arial"/>
                <w:sz w:val="14"/>
                <w:szCs w:val="14"/>
              </w:rPr>
              <w:br/>
              <w:t>    </w:t>
            </w:r>
            <w:r>
              <w:rPr>
                <w:rFonts w:ascii="Arial" w:hAnsi="Arial" w:cs="Arial"/>
                <w:sz w:val="14"/>
                <w:szCs w:val="14"/>
              </w:rPr>
              <w:br/>
              <w:t>     Взаимодействие в рамках СНГ дополняется налаживанием двусторонних отношений. Здесь есть свои достижения и трудности.</w:t>
            </w:r>
            <w:r>
              <w:rPr>
                <w:rFonts w:ascii="Arial" w:hAnsi="Arial" w:cs="Arial"/>
                <w:sz w:val="14"/>
                <w:szCs w:val="14"/>
              </w:rPr>
              <w:br/>
              <w:t>    </w:t>
            </w:r>
            <w:r>
              <w:rPr>
                <w:rFonts w:ascii="Arial" w:hAnsi="Arial" w:cs="Arial"/>
                <w:sz w:val="14"/>
                <w:szCs w:val="14"/>
              </w:rPr>
              <w:br/>
              <w:t>     Отношения со странами Прибалтики омрачаются проблемами статуса и правового положения русскоязычного населения. Международное сообщество признает дискриминационными законы Эстонии и Латвии о статусе национальных меньшинств.</w:t>
            </w:r>
            <w:r>
              <w:rPr>
                <w:rFonts w:ascii="Arial" w:hAnsi="Arial" w:cs="Arial"/>
                <w:sz w:val="14"/>
                <w:szCs w:val="14"/>
              </w:rPr>
              <w:br/>
              <w:t>    </w:t>
            </w:r>
            <w:r>
              <w:rPr>
                <w:rFonts w:ascii="Arial" w:hAnsi="Arial" w:cs="Arial"/>
                <w:sz w:val="14"/>
                <w:szCs w:val="14"/>
              </w:rPr>
              <w:br/>
              <w:t>     Российско-украинские отношения складывались непросто. Камнем преткновения был вопрос о судьбе Черноморского флота и статусе Севастополя. В мае 1997г. было подписано соответствующее соглашение (о параметрах раздела флота между Россией и Украиной и об аренде Россией Севастопольской военно-морской базы), что позволило заключить Договор о дружбе, сотрудничестве и партнерстве. Серьезные разногласия в двусторонних отношениях на протяжении последних лет вызывает проблема поставок российских энергоносителей и порядок расчетов за эти поставки.</w:t>
            </w:r>
            <w:r>
              <w:rPr>
                <w:rFonts w:ascii="Arial" w:hAnsi="Arial" w:cs="Arial"/>
                <w:sz w:val="14"/>
                <w:szCs w:val="14"/>
              </w:rPr>
              <w:br/>
              <w:t>    </w:t>
            </w:r>
            <w:r>
              <w:rPr>
                <w:rFonts w:ascii="Arial" w:hAnsi="Arial" w:cs="Arial"/>
                <w:sz w:val="14"/>
                <w:szCs w:val="14"/>
              </w:rPr>
              <w:br/>
              <w:t>     Успехи в российско-белорусских отношениях позволили заключить договор о создании союзного государства России и Белоруссии (2000), учреждении исполнительных и законодательных органов этого союза. Интеграция с Белоруссией имеет для обеих стран важное стратегическое значение.</w:t>
            </w:r>
            <w:r>
              <w:rPr>
                <w:rFonts w:ascii="Arial" w:hAnsi="Arial" w:cs="Arial"/>
                <w:sz w:val="14"/>
                <w:szCs w:val="14"/>
              </w:rPr>
              <w:br/>
              <w:t>    </w:t>
            </w:r>
            <w:r>
              <w:rPr>
                <w:rFonts w:ascii="Arial" w:hAnsi="Arial" w:cs="Arial"/>
                <w:sz w:val="14"/>
                <w:szCs w:val="14"/>
              </w:rPr>
              <w:br/>
              <w:t>     Позиция современной России в отношениях со странами ближнего зарубежья определяется в первую очередь защитой российских национальных интересов на всем пространстве СНГ.</w:t>
            </w:r>
            <w:r>
              <w:rPr>
                <w:rFonts w:ascii="Arial" w:hAnsi="Arial" w:cs="Arial"/>
                <w:sz w:val="14"/>
                <w:szCs w:val="14"/>
              </w:rPr>
              <w:br/>
              <w:t>    </w:t>
            </w:r>
            <w:r>
              <w:rPr>
                <w:rFonts w:ascii="Arial" w:hAnsi="Arial" w:cs="Arial"/>
                <w:sz w:val="14"/>
                <w:szCs w:val="14"/>
              </w:rPr>
              <w:br/>
              <w:t>     Отношения с Западом. В развитии этих отношений можно выделить несколько этапов.</w:t>
            </w:r>
            <w:r>
              <w:rPr>
                <w:rFonts w:ascii="Arial" w:hAnsi="Arial" w:cs="Arial"/>
                <w:sz w:val="14"/>
                <w:szCs w:val="14"/>
              </w:rPr>
              <w:br/>
              <w:t>    </w:t>
            </w:r>
            <w:r>
              <w:rPr>
                <w:rFonts w:ascii="Arial" w:hAnsi="Arial" w:cs="Arial"/>
                <w:sz w:val="14"/>
                <w:szCs w:val="14"/>
              </w:rPr>
              <w:br/>
              <w:t>     1991 —1993гг. Позиция России формировалось под влиянием острой заинтересованности в политической и экономической поддержке Западом преобразований, проводимых руководством страны. К достижениям этих лет следует отнести: деидеологиза-цию российской внешней политики; признание статуса России как правопреемника СССР; заключение договора с США об ограничении стратегических наступательных вооружений (СНВ-2); соглашение с США о взаимном перенацеливании стратегических ракет и о прекращении разработки в США программы стратегической оборонной инициативы; налаживание тесных контактов с лидерами США, Франции, ФРГ, Великобритании; вступление России в Международный валютный фонд и Всемирный банк. Негативные последствия данного внешнеполитического курса состояли в угрозе утраты Россией самостоятельной роли на международной арене, ослаблении ее влияния в развивающихся странах и «горячих точках», формировании однополярного мира. 1994—1999 гг. Этот период связан с попытками России выработать самостоятельную позицию на международной арене, четче определить свои национальные интересы, восстановить влияние на ход мировой политики. Была выдвинута доктрина построения многополярного мира.</w:t>
            </w:r>
            <w:r>
              <w:rPr>
                <w:rFonts w:ascii="Arial" w:hAnsi="Arial" w:cs="Arial"/>
                <w:sz w:val="14"/>
                <w:szCs w:val="14"/>
              </w:rPr>
              <w:br/>
              <w:t>    </w:t>
            </w:r>
            <w:r>
              <w:rPr>
                <w:rFonts w:ascii="Arial" w:hAnsi="Arial" w:cs="Arial"/>
                <w:sz w:val="14"/>
                <w:szCs w:val="14"/>
              </w:rPr>
              <w:br/>
              <w:t>     Россия стала полноправным членом «большой восьмерки» развитых стран мира (с 1997 г.). Ей удалось четко обозначить свое отношение к планам расширения НАТО на Восток. Вопрос о принятии в состав НАТО бывших членов Организации Варшавского Договора был поставлен летом 1994 г. Россия заявила о принципиальном несогласии с этими планами, нарушающими ее безопасность (несмотря на это, в 1999 г. членами НАТО стали Польша, Венгрия и Чехия). В 1997 г. Россия подписала с НАТО договор об особом партнерстве. В 1996 г. наша страна стала полноправным членом Совета Европы. В 1994— 1996 гг. российскому внешнеполитическому ведомству удалось добиться понимания Западом военной акции в Чечне как вынужденной, направленной на сохранение государственной целостности России.</w:t>
            </w:r>
            <w:r>
              <w:rPr>
                <w:rFonts w:ascii="Arial" w:hAnsi="Arial" w:cs="Arial"/>
                <w:sz w:val="14"/>
                <w:szCs w:val="14"/>
              </w:rPr>
              <w:br/>
              <w:t>    </w:t>
            </w:r>
            <w:r>
              <w:rPr>
                <w:rFonts w:ascii="Arial" w:hAnsi="Arial" w:cs="Arial"/>
                <w:sz w:val="14"/>
                <w:szCs w:val="14"/>
              </w:rPr>
              <w:br/>
              <w:t>     1999—2002 гг. В 1999г. отношения России с США и странами Запада обострились. Россия заняла резко негативную позицию в связи с военной операцией НАТО против Республики Югославия в Косово. Запад, в свою очередь, осудил Россию за «непропорциональное применение силы» в рамках контртеррористической операции в Чечне, хотя и подтвердил право России защищать территориальную целостность страны. В 2000 г. Россия была временно лишена права участвовать в полном объеме в деятельности Совета Европы (в начале 2001 г. было принято решении о восстановлении этих полномочий). В 2000 г. Россия четко заявила о том, что ее внешняя политика определяется российскими национальными интересами. Существенный экономический рост, достигнутый в 1999 и 2000 гг., подкрепляет стремление России к проведению сильной, самостоятельной, конструктивной внешней политики, основанной на приверженности идее многополярного мира.</w:t>
            </w:r>
            <w:r>
              <w:rPr>
                <w:rFonts w:ascii="Arial" w:hAnsi="Arial" w:cs="Arial"/>
                <w:sz w:val="14"/>
                <w:szCs w:val="14"/>
              </w:rPr>
              <w:br/>
              <w:t>    </w:t>
            </w:r>
            <w:r>
              <w:rPr>
                <w:rFonts w:ascii="Arial" w:hAnsi="Arial" w:cs="Arial"/>
                <w:sz w:val="14"/>
                <w:szCs w:val="14"/>
              </w:rPr>
              <w:br/>
              <w:t>     Важнейшим направлением внешней политики остается деятельность по активизации сотрудничества, направленного на борьбу с угрозами, исходящими от мирового терроризма. Россия жестко осудила террористические акты в США 11 сентября 2001 г., выступила в поддержку политических, экономических, финансовых, военных мер против терроризма.</w:t>
            </w:r>
            <w:r>
              <w:rPr>
                <w:rFonts w:ascii="Arial" w:hAnsi="Arial" w:cs="Arial"/>
                <w:sz w:val="14"/>
                <w:szCs w:val="14"/>
              </w:rPr>
              <w:br/>
              <w:t>    </w:t>
            </w:r>
            <w:r>
              <w:rPr>
                <w:rFonts w:ascii="Arial" w:hAnsi="Arial" w:cs="Arial"/>
                <w:sz w:val="14"/>
                <w:szCs w:val="14"/>
              </w:rPr>
              <w:br/>
              <w:t>     Отношения с Японией, Китаем, странамц. Азиатско-Тихоокеанского региона. В 1990-е гг. Россия не раз заявляла о своем статусе как великой евразийской державы, заинтересованной в тесном сотрудничестве со странами Востока. В 1998—2000 гг. плодотворно развивались российско-японские отношения. Китай стал одним из основных торговых партнеров России. Позитивно складываются отношения с Южной Кореей, странами АСЕАН.</w:t>
            </w:r>
            <w:r>
              <w:rPr>
                <w:rFonts w:ascii="Arial" w:hAnsi="Arial" w:cs="Arial"/>
                <w:sz w:val="14"/>
                <w:szCs w:val="14"/>
              </w:rPr>
              <w:br/>
              <w:t>    </w:t>
            </w:r>
            <w:r>
              <w:rPr>
                <w:rFonts w:ascii="Arial" w:hAnsi="Arial" w:cs="Arial"/>
                <w:sz w:val="14"/>
                <w:szCs w:val="14"/>
              </w:rPr>
              <w:br/>
              <w:t>     Россия вступает в XXI в. с осознанием своей ответственности и с готовностью активно участвовать в формировании мирового порядка, основанного на международной безопасности и сотрудничестве.</w:t>
            </w:r>
            <w:r>
              <w:rPr>
                <w:rFonts w:ascii="Arial" w:hAnsi="Arial" w:cs="Arial"/>
                <w:sz w:val="14"/>
                <w:szCs w:val="14"/>
              </w:rPr>
              <w:br/>
              <w:t>    </w:t>
            </w:r>
          </w:p>
          <w:p w:rsidR="003D4744" w:rsidRDefault="003D4744" w:rsidP="00C705AC"/>
        </w:tc>
        <w:tc>
          <w:tcPr>
            <w:tcW w:w="3191" w:type="dxa"/>
          </w:tcPr>
          <w:p w:rsidR="003D4744" w:rsidRDefault="003D4744" w:rsidP="00C705AC"/>
        </w:tc>
      </w:tr>
    </w:tbl>
    <w:p w:rsidR="003D4744" w:rsidRDefault="003D4744" w:rsidP="00C705AC">
      <w:bookmarkStart w:id="0" w:name="_GoBack"/>
      <w:bookmarkEnd w:id="0"/>
    </w:p>
    <w:sectPr w:rsidR="003D4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744"/>
    <w:rsid w:val="003D4744"/>
    <w:rsid w:val="006039F6"/>
    <w:rsid w:val="006B792D"/>
    <w:rsid w:val="00C7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0AAAC5-B8A9-4DE7-A4F2-396E29DB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l1">
    <w:name w:val="ttl1"/>
    <w:basedOn w:val="a0"/>
    <w:uiPriority w:val="99"/>
    <w:rPr>
      <w:rFonts w:ascii="Arial" w:hAnsi="Arial" w:cs="Arial"/>
      <w:b/>
      <w:bCs/>
      <w:color w:val="003263"/>
      <w:sz w:val="24"/>
      <w:szCs w:val="24"/>
    </w:rPr>
  </w:style>
  <w:style w:type="character" w:styleId="a3">
    <w:name w:val="Hyperlink"/>
    <w:basedOn w:val="a0"/>
    <w:uiPriority w:val="99"/>
    <w:rsid w:val="003D4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764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Words>
  <Characters>12744</Characters>
  <Application>Microsoft Office Word</Application>
  <DocSecurity>0</DocSecurity>
  <Lines>106</Lines>
  <Paragraphs>29</Paragraphs>
  <ScaleCrop>false</ScaleCrop>
  <Company>MAXUS</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Вклад российской культуры XIX в</dc:title>
  <dc:subject/>
  <dc:creator>CMS</dc:creator>
  <cp:keywords/>
  <dc:description/>
  <cp:lastModifiedBy>admin</cp:lastModifiedBy>
  <cp:revision>2</cp:revision>
  <dcterms:created xsi:type="dcterms:W3CDTF">2014-05-09T16:03:00Z</dcterms:created>
  <dcterms:modified xsi:type="dcterms:W3CDTF">2014-05-09T16:03:00Z</dcterms:modified>
</cp:coreProperties>
</file>