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68" w:rsidRDefault="00025B68" w:rsidP="00D7077B">
      <w:pPr>
        <w:spacing w:line="360" w:lineRule="auto"/>
        <w:jc w:val="center"/>
        <w:rPr>
          <w:b/>
          <w:sz w:val="28"/>
          <w:szCs w:val="28"/>
        </w:rPr>
      </w:pPr>
    </w:p>
    <w:p w:rsidR="00D7077B" w:rsidRPr="00D7077B" w:rsidRDefault="00D7077B" w:rsidP="00D7077B">
      <w:pPr>
        <w:spacing w:line="360" w:lineRule="auto"/>
        <w:jc w:val="center"/>
        <w:rPr>
          <w:b/>
          <w:sz w:val="28"/>
          <w:szCs w:val="28"/>
        </w:rPr>
      </w:pPr>
      <w:r w:rsidRPr="00D7077B">
        <w:rPr>
          <w:b/>
          <w:sz w:val="28"/>
          <w:szCs w:val="28"/>
        </w:rPr>
        <w:t>Формы и методы бюджетного финансирования, направления их дальнейшего использования</w:t>
      </w:r>
    </w:p>
    <w:p w:rsidR="00D7077B" w:rsidRDefault="00D7077B" w:rsidP="00D7077B">
      <w:pPr>
        <w:spacing w:line="360" w:lineRule="auto"/>
        <w:ind w:firstLine="720"/>
        <w:jc w:val="both"/>
        <w:rPr>
          <w:sz w:val="28"/>
          <w:szCs w:val="28"/>
        </w:rPr>
      </w:pPr>
    </w:p>
    <w:p w:rsidR="00D7077B" w:rsidRDefault="00D7077B" w:rsidP="00D7077B">
      <w:pPr>
        <w:spacing w:line="360" w:lineRule="auto"/>
        <w:ind w:firstLine="720"/>
        <w:jc w:val="both"/>
        <w:rPr>
          <w:sz w:val="28"/>
          <w:szCs w:val="28"/>
        </w:rPr>
      </w:pPr>
      <w:r w:rsidRPr="00AA1423">
        <w:rPr>
          <w:b/>
          <w:sz w:val="28"/>
          <w:szCs w:val="28"/>
        </w:rPr>
        <w:t>Бюджетное финансирование</w:t>
      </w:r>
      <w:r w:rsidRPr="00D7077B">
        <w:rPr>
          <w:sz w:val="28"/>
          <w:szCs w:val="28"/>
        </w:rPr>
        <w:t xml:space="preserve"> (англ. budget financin</w:t>
      </w:r>
      <w:r>
        <w:rPr>
          <w:sz w:val="28"/>
          <w:szCs w:val="28"/>
          <w:lang w:val="en-US"/>
        </w:rPr>
        <w:t>g</w:t>
      </w:r>
      <w:r w:rsidRPr="00D7077B">
        <w:rPr>
          <w:sz w:val="28"/>
          <w:szCs w:val="28"/>
        </w:rPr>
        <w:t xml:space="preserve">) </w:t>
      </w:r>
      <w:r>
        <w:rPr>
          <w:sz w:val="28"/>
          <w:szCs w:val="28"/>
        </w:rPr>
        <w:t>–</w:t>
      </w:r>
      <w:r w:rsidRPr="00D7077B">
        <w:rPr>
          <w:sz w:val="28"/>
          <w:szCs w:val="28"/>
        </w:rPr>
        <w:t xml:space="preserve"> предоставление бюджетных средств на безвозвратной и возвратной основе всем бюджетополучателям в соответствии с установленным законодательством для полного или частичного покрытия их расходов на проведение мероприятий, предусмотренных в утвержденном бюджете. Бюджетное финансирование </w:t>
      </w:r>
      <w:r>
        <w:rPr>
          <w:sz w:val="28"/>
          <w:szCs w:val="28"/>
        </w:rPr>
        <w:t>–</w:t>
      </w:r>
      <w:r w:rsidRPr="00D7077B">
        <w:rPr>
          <w:sz w:val="28"/>
          <w:szCs w:val="28"/>
        </w:rPr>
        <w:t xml:space="preserve"> одна из действующих форм покрытия расходов хозяйствующих субъектов; применяется для обеспечения затрат, имеющих общефедеральное, региональное и локальное значение, с их финансированием соответственно из федеральных, региональных и местных бюджетов. Бюджетное финансирование осуществляется в соответствии с установленными принципами путем использования специальных форм и методов предоставления бюджетных средств; в ходе бюджетного финансирования действует государственный финансовый контроль за целевым, экономным и эффективным расходованием денежных средств. </w:t>
      </w:r>
    </w:p>
    <w:p w:rsidR="00D7077B" w:rsidRDefault="00D7077B" w:rsidP="00D7077B">
      <w:pPr>
        <w:spacing w:line="360" w:lineRule="auto"/>
        <w:ind w:firstLine="720"/>
        <w:jc w:val="both"/>
        <w:rPr>
          <w:sz w:val="28"/>
          <w:szCs w:val="28"/>
        </w:rPr>
      </w:pPr>
      <w:r w:rsidRPr="00D7077B">
        <w:rPr>
          <w:sz w:val="28"/>
          <w:szCs w:val="28"/>
        </w:rPr>
        <w:t xml:space="preserve">Принципы бюджетного финансирования можно подразделить на: общие, касающиеся всех бюджетополучателей; частные, определяющие порядок предоставления бюджетных средств предприятиям, организациям и учреждениям в зависимости от их организационно-правовой формы и метода ведения хозяйства. К общим принципам в России относят; соблюдение законности финансирования (отпуск бюджетных средств может происходить только на основе утвержденного бюджета и сводной бюджетной росписи); целевой характер предоставления бюджетных средств; выделение средств в пределах лимитов бюджетных обязательств, признанных органом, исполняющим бюджет, и с учетом использования ранее отпущенных ассигнований бюджетных. К частным относят принципы, различающиеся в зависимости от того, кому и на какие цели предоставляются бюджетные средства. Так, для бюджетных учреждений действует принцип зависимости объема финансирования от установленных норм и фактически достигнутых показателей по сети, штатам и контингентам. </w:t>
      </w:r>
    </w:p>
    <w:p w:rsidR="00D7077B" w:rsidRDefault="00D7077B" w:rsidP="00D7077B">
      <w:pPr>
        <w:spacing w:line="360" w:lineRule="auto"/>
        <w:ind w:firstLine="720"/>
        <w:jc w:val="both"/>
        <w:rPr>
          <w:sz w:val="28"/>
          <w:szCs w:val="28"/>
        </w:rPr>
      </w:pPr>
      <w:r w:rsidRPr="00D7077B">
        <w:rPr>
          <w:sz w:val="28"/>
          <w:szCs w:val="28"/>
        </w:rPr>
        <w:t xml:space="preserve">Бюджетные средства могут предоставляться в следующих формах финансирования: ассигнования различного рода (на содержание бюджетных учреждений; на оплату товаров, работ и услуг, выполняемых по государственным и муниципальным контрактам; на осуществление отдельных государственных полномочий, передаваемых на другие уровни власти; и др.); трансферты населению и нижестоящим бюджетам; бюджетные кредиты юридическим лицам (в т.ч. налоговые кредиты, отсрочки, рассрочки и т.п.); инвестиции; ссуды, дотации, субвенции, субсидии; средства на обслуживание долговых обязательств; кредиты иностранным государствам и др. </w:t>
      </w:r>
    </w:p>
    <w:p w:rsidR="00D7077B" w:rsidRDefault="00D7077B" w:rsidP="00D7077B">
      <w:pPr>
        <w:spacing w:line="360" w:lineRule="auto"/>
        <w:ind w:firstLine="720"/>
        <w:jc w:val="both"/>
        <w:rPr>
          <w:sz w:val="28"/>
          <w:szCs w:val="28"/>
        </w:rPr>
      </w:pPr>
      <w:r w:rsidRPr="00D7077B">
        <w:rPr>
          <w:sz w:val="28"/>
          <w:szCs w:val="28"/>
        </w:rPr>
        <w:t xml:space="preserve">Российская система бюджетного финансирования в 90-е гг. претерпела существенные изменения по сравнению с системой бывшего СССР: значительно сокращены объемы бюджетного дотирования предприятий на основе совершенствования механизма дотирования </w:t>
      </w:r>
      <w:r>
        <w:rPr>
          <w:sz w:val="28"/>
          <w:szCs w:val="28"/>
        </w:rPr>
        <w:t>–</w:t>
      </w:r>
      <w:r w:rsidRPr="00D7077B">
        <w:rPr>
          <w:sz w:val="28"/>
          <w:szCs w:val="28"/>
        </w:rPr>
        <w:t xml:space="preserve"> бюджетные средства стали выделяться под конкретные виды продукции и на строго определенное время; деятельность конкретных предприятий финансируется в рамках целевых программ; средства выделяются в пределах бюджетных обязательств, признанных органом, исполняющим бюджет, и установленных лимитов; введено бюджетное кредитование с использованием принципов платности и возвратности. </w:t>
      </w:r>
    </w:p>
    <w:p w:rsidR="00D7077B" w:rsidRDefault="00D7077B" w:rsidP="00D7077B">
      <w:pPr>
        <w:spacing w:line="360" w:lineRule="auto"/>
        <w:ind w:firstLine="720"/>
        <w:jc w:val="both"/>
        <w:rPr>
          <w:sz w:val="28"/>
          <w:szCs w:val="28"/>
        </w:rPr>
      </w:pPr>
      <w:r w:rsidRPr="00D7077B">
        <w:rPr>
          <w:sz w:val="28"/>
          <w:szCs w:val="28"/>
        </w:rPr>
        <w:t xml:space="preserve">Порядок предоставления средств из бюджета зависит от организационно-правового статуса предприятия, организации, учреждения. Например, финансирование бюджетных учреждений производится в безвозвратном порядке в строгом соответствии с назначениями, предусмотренными в их годовых с поквартальной разбивкой сметах и в меру выполнения установленных им государственных (муниципальных) заданий. При этом учитываются изменения, вносимые в смету в установленном порядке, и соблюдаются все требования финансово-бюджетной дисциплины. </w:t>
      </w:r>
    </w:p>
    <w:p w:rsidR="00D7077B" w:rsidRDefault="00D7077B" w:rsidP="00D7077B">
      <w:pPr>
        <w:spacing w:line="360" w:lineRule="auto"/>
        <w:ind w:firstLine="720"/>
        <w:jc w:val="both"/>
        <w:rPr>
          <w:sz w:val="28"/>
          <w:szCs w:val="28"/>
        </w:rPr>
      </w:pPr>
      <w:r w:rsidRPr="00D7077B">
        <w:rPr>
          <w:sz w:val="28"/>
          <w:szCs w:val="28"/>
        </w:rPr>
        <w:t xml:space="preserve">Бюджетное финансирование казенных предприятий (заводов, фабрик, хозяйств) производится в соответствии с планом-заказом и планом развития, согласованным с Министерством экономического развития и торговли России и Минфином России. Средства казенным предприятиям выделяются из бюджета на: выполнение государственных инвестиционных программ, НИОКР, содержание объектов социальной инфраструктуры; компенсацию убытков от выполнения плана-заказа; проведение конверсионных мероприятий и т.д. Неиспользованные бюджетные средства по истечении года казенные предприятия обязаны возвращать в бюджет. </w:t>
      </w:r>
    </w:p>
    <w:p w:rsidR="00D7077B" w:rsidRDefault="00D7077B" w:rsidP="00D7077B">
      <w:pPr>
        <w:spacing w:line="360" w:lineRule="auto"/>
        <w:ind w:firstLine="720"/>
        <w:jc w:val="both"/>
        <w:rPr>
          <w:sz w:val="28"/>
          <w:szCs w:val="28"/>
        </w:rPr>
      </w:pPr>
      <w:r w:rsidRPr="00D7077B">
        <w:rPr>
          <w:sz w:val="28"/>
          <w:szCs w:val="28"/>
        </w:rPr>
        <w:t>По государственным и муниципальным унитарным предприятиям, основанным на праве хозяйственного ведения и функционирующим на коммерческих началах, бюджетное финансирование частично может осуществляться на условиях платности и возвратности; на таких же условиях бюджетные средства предоставляются негосударственным коммерческим предприятиям, выигравшим конкурс инвестиционных проектов. Их расходы финансируются в пределах сумм, утвержденных по бюджету на соответствующий год.</w:t>
      </w:r>
    </w:p>
    <w:p w:rsidR="00D7077B" w:rsidRDefault="00D7077B" w:rsidP="00D7077B">
      <w:pPr>
        <w:spacing w:line="360" w:lineRule="auto"/>
        <w:ind w:firstLine="720"/>
        <w:jc w:val="both"/>
        <w:rPr>
          <w:sz w:val="28"/>
          <w:szCs w:val="28"/>
        </w:rPr>
      </w:pPr>
      <w:r w:rsidRPr="00D7077B">
        <w:rPr>
          <w:sz w:val="28"/>
          <w:szCs w:val="28"/>
        </w:rPr>
        <w:t xml:space="preserve">На платной и возвратной основах финансируются специфические мероприятия, особо выделяемые в составе бюджетных расходов. К ним относятся: мероприятия по государственной поддержке завоза продукции в районы Крайнего Севера и приравненной к ним местности с ограниченными сроками завоза; расходы по формированию федерального продовольственного фонда; мероприятия, связанного с обеспечением агропромышленного комплекса машиностроительной продукцией на основе долгосрочной аренды (лизинга); расходы на пополнение фонда льготного кредитования; меры по оказанию краткосрочной финансовой поддержки предприятий, осуществляющих структурную перестройку производства или экспортирующих продукцию обрабатывающей промышленности и т.п. Заемщиками бюджетных средств выступают российские предприятия и организации, являющиеся юридическими лицами, за исключением предприятий с иностранными инвестициями, а также органы исполнительной власти субъектов РФ и органы местного самоуправления. За несвоевременный возврат бюджетных средств и просрочку уплаты процентов взимается штраф в установленных размерах. </w:t>
      </w:r>
    </w:p>
    <w:p w:rsidR="00D7077B" w:rsidRDefault="00D7077B" w:rsidP="00D7077B">
      <w:pPr>
        <w:spacing w:line="360" w:lineRule="auto"/>
        <w:ind w:firstLine="720"/>
        <w:jc w:val="both"/>
        <w:rPr>
          <w:sz w:val="28"/>
          <w:szCs w:val="28"/>
        </w:rPr>
      </w:pPr>
      <w:r w:rsidRPr="00D7077B">
        <w:rPr>
          <w:sz w:val="28"/>
          <w:szCs w:val="28"/>
        </w:rPr>
        <w:t>Бюджетное финансирование может распространяться и на негосударственные коммерческие организации, осуществляющие новое строительство, техническое перевооружен</w:t>
      </w:r>
      <w:r>
        <w:rPr>
          <w:sz w:val="28"/>
          <w:szCs w:val="28"/>
        </w:rPr>
        <w:t>ие и реконструкцию своего производст</w:t>
      </w:r>
      <w:r w:rsidRPr="00D7077B">
        <w:rPr>
          <w:sz w:val="28"/>
          <w:szCs w:val="28"/>
        </w:rPr>
        <w:t>ва. Однако им бюджетные средства на федеральном уровне выделяются только по решению Правительства РФ, принимаемому исходя из экономического обоснования, при наличии необходимой проектно-сметной документации и положительные экспертизы, и лишь при условии обеспечения участия России или увеличения доли ее собственности в уставных капиталах этих организаций. Такое участие и увеличение доли собственности государ</w:t>
      </w:r>
      <w:r>
        <w:rPr>
          <w:sz w:val="28"/>
          <w:szCs w:val="28"/>
        </w:rPr>
        <w:t>ст</w:t>
      </w:r>
      <w:r w:rsidRPr="00D7077B">
        <w:rPr>
          <w:sz w:val="28"/>
          <w:szCs w:val="28"/>
        </w:rPr>
        <w:t>ва достигается путем передачи в федеральную собственность по номинальной стоимости дополнительных пакетов акций (паев) на сумму предоставленных бюджетных средств.</w:t>
      </w:r>
    </w:p>
    <w:p w:rsidR="00D7077B" w:rsidRDefault="00D7077B" w:rsidP="00D7077B">
      <w:pPr>
        <w:spacing w:line="360" w:lineRule="auto"/>
        <w:ind w:firstLine="720"/>
        <w:jc w:val="both"/>
        <w:rPr>
          <w:sz w:val="28"/>
          <w:szCs w:val="28"/>
        </w:rPr>
      </w:pPr>
      <w:r w:rsidRPr="00D7077B">
        <w:rPr>
          <w:sz w:val="28"/>
          <w:szCs w:val="28"/>
        </w:rPr>
        <w:t>Подобным же образом решаются вопросы с бюджетном финансированием негосударственных предприятий и на региональном, а также муниципальном уровнях с выделением средств из соот</w:t>
      </w:r>
      <w:r>
        <w:rPr>
          <w:sz w:val="28"/>
          <w:szCs w:val="28"/>
        </w:rPr>
        <w:t>ветст</w:t>
      </w:r>
      <w:r w:rsidRPr="00D7077B">
        <w:rPr>
          <w:sz w:val="28"/>
          <w:szCs w:val="28"/>
        </w:rPr>
        <w:t>вующего бюджета. Методы бюджетного финансирования, отражающие расходование бюджетных средств, включают: списание денежных средств с единого счета бюджета в размере подтверждения бюджетного обязательства в пользу физических и юридических лиц; зачет денежных средств (при условии наличия задолженности бюджетополучателя по неналоговым платежам в бюджет). Совершенствованию бюджетного финансирования в России будет способствовать переход к бюджетному субсидированию коммерческих предприятий по результатам конкурсной борьбы претендентов за субсидии и отбора наиболее эффективных вариантов инвестирования бюджетных средств. Такой способ позволит России реально решить вопрос о возможности долевого участия государства и хозяйствующих субъектов в покрытии определенных видов расходов.</w:t>
      </w:r>
    </w:p>
    <w:p w:rsidR="00D7077B" w:rsidRPr="00D7077B" w:rsidRDefault="00D7077B" w:rsidP="00D7077B">
      <w:pPr>
        <w:spacing w:line="360" w:lineRule="auto"/>
        <w:ind w:firstLine="720"/>
        <w:jc w:val="both"/>
        <w:rPr>
          <w:sz w:val="28"/>
          <w:szCs w:val="28"/>
        </w:rPr>
      </w:pPr>
      <w:r w:rsidRPr="00D7077B">
        <w:rPr>
          <w:sz w:val="28"/>
          <w:szCs w:val="28"/>
        </w:rPr>
        <w:t>При перестройке бюджетного финансирования учитывается опыт, накопленный мировой практикой инвестирования ресурсов в обществ, производство (так, в Японии отдают предпочтение финансовой поддержке экономически силь</w:t>
      </w:r>
      <w:r>
        <w:rPr>
          <w:sz w:val="28"/>
          <w:szCs w:val="28"/>
        </w:rPr>
        <w:t>ных, а не слабых предприятий</w:t>
      </w:r>
      <w:r w:rsidRPr="00D7077B">
        <w:rPr>
          <w:sz w:val="28"/>
          <w:szCs w:val="28"/>
        </w:rPr>
        <w:t xml:space="preserve">, которые благодаря бюджетным субсидиям получают возможность для значительного рывка вперед). Бюджетное финансирование должно шире использоваться, с одной стороны, для поддержания достигнутого уровня социально-культурного обслуживания населения, с другой </w:t>
      </w:r>
      <w:r>
        <w:rPr>
          <w:sz w:val="28"/>
          <w:szCs w:val="28"/>
        </w:rPr>
        <w:t>–</w:t>
      </w:r>
      <w:r w:rsidRPr="00D7077B">
        <w:rPr>
          <w:sz w:val="28"/>
          <w:szCs w:val="28"/>
        </w:rPr>
        <w:t xml:space="preserve"> для достижения оптим</w:t>
      </w:r>
      <w:r>
        <w:rPr>
          <w:sz w:val="28"/>
          <w:szCs w:val="28"/>
        </w:rPr>
        <w:t>ал</w:t>
      </w:r>
      <w:r w:rsidRPr="00D7077B">
        <w:rPr>
          <w:sz w:val="28"/>
          <w:szCs w:val="28"/>
        </w:rPr>
        <w:t>ьной структуры отраслей с учетом социальных приоритетов. При этом важно, чтобы в бюджете любого уровня размеры и сроки поступления денежных средств точно соответствовали требованиям бюджетного финансирования, чтобы не было задержек с финансированием из-за несвоевременного и неполного поступления средств в бюджет. Пустая казна, нарушающая бюджетное финансирование, - не только результат кризисного состояния экономики, но и свидетельство просчетов, допущенных в управлении государственными и муниципальными финансами, в т.ч. из-за несбалансированности бюджета и недостаточной обоснованности устанавливаемых лимитов финансирования, которые не должны превышать сумм реально поступающих доходов. При снижении поступлений бюджетных доходов или источников покрытия дефицита в процессе исполнения бюджета в бюджетном финансировании может предусматриваться режим сокращения расходов бюджета или режим блокировки рас</w:t>
      </w:r>
      <w:r>
        <w:rPr>
          <w:sz w:val="28"/>
          <w:szCs w:val="28"/>
        </w:rPr>
        <w:t>ходов</w:t>
      </w:r>
    </w:p>
    <w:p w:rsidR="00D7077B" w:rsidRDefault="00D7077B" w:rsidP="00D7077B">
      <w:pPr>
        <w:spacing w:line="360" w:lineRule="auto"/>
        <w:jc w:val="both"/>
        <w:rPr>
          <w:b/>
          <w:sz w:val="28"/>
          <w:szCs w:val="28"/>
        </w:rPr>
      </w:pPr>
    </w:p>
    <w:p w:rsidR="00D7077B" w:rsidRPr="00D7077B" w:rsidRDefault="00D7077B" w:rsidP="00D7077B">
      <w:pPr>
        <w:spacing w:line="360" w:lineRule="auto"/>
        <w:jc w:val="both"/>
        <w:rPr>
          <w:b/>
          <w:sz w:val="28"/>
          <w:szCs w:val="28"/>
        </w:rPr>
      </w:pPr>
      <w:r w:rsidRPr="00D7077B">
        <w:rPr>
          <w:b/>
          <w:sz w:val="28"/>
          <w:szCs w:val="28"/>
        </w:rPr>
        <w:t>БЮДЖЕТНАЯ ССУДА</w:t>
      </w:r>
    </w:p>
    <w:p w:rsidR="00344C2D" w:rsidRPr="00D7077B" w:rsidRDefault="00D7077B" w:rsidP="00D7077B">
      <w:pPr>
        <w:spacing w:line="360" w:lineRule="auto"/>
        <w:jc w:val="both"/>
        <w:rPr>
          <w:sz w:val="28"/>
          <w:szCs w:val="28"/>
        </w:rPr>
      </w:pPr>
      <w:r w:rsidRPr="00D7077B">
        <w:rPr>
          <w:sz w:val="28"/>
          <w:szCs w:val="28"/>
        </w:rPr>
        <w:t xml:space="preserve">(англ. budget advance) </w:t>
      </w:r>
      <w:r>
        <w:rPr>
          <w:sz w:val="28"/>
          <w:szCs w:val="28"/>
        </w:rPr>
        <w:t>–</w:t>
      </w:r>
      <w:r w:rsidRPr="00D7077B">
        <w:rPr>
          <w:sz w:val="28"/>
          <w:szCs w:val="28"/>
        </w:rPr>
        <w:t xml:space="preserve"> денежные средства, выделяемые из одного бюджета другому на возвратной, безвозмездной или возмездной основах на срок не более 6 месяцев в пределах финансового года. Ее назначение </w:t>
      </w:r>
      <w:r>
        <w:rPr>
          <w:sz w:val="28"/>
          <w:szCs w:val="28"/>
        </w:rPr>
        <w:t xml:space="preserve">– </w:t>
      </w:r>
      <w:r w:rsidRPr="00D7077B">
        <w:rPr>
          <w:sz w:val="28"/>
          <w:szCs w:val="28"/>
        </w:rPr>
        <w:t xml:space="preserve">покрытие временных кассовых разрывов при исполнении бюджета, связанных с сезонными расходами либо сезонными колебаниями поступления доходов. В РФ бюджетные ссуды, как правило, выделяются из федерального бюджета в бюджеты субъектов Федерации, а из последних </w:t>
      </w:r>
      <w:r>
        <w:rPr>
          <w:sz w:val="28"/>
          <w:szCs w:val="28"/>
        </w:rPr>
        <w:t>–</w:t>
      </w:r>
      <w:r w:rsidRPr="00D7077B">
        <w:rPr>
          <w:sz w:val="28"/>
          <w:szCs w:val="28"/>
        </w:rPr>
        <w:t xml:space="preserve"> в местные бюджеты. Законодательством предусмотрена также возможность выделения бюджетных ссуд органами государственной власти и местного самоуправления одного уровня. Предоставление бюджетной ссуды оформляется соглашением. Если бюджетная ссуда не погашается до конца финансового года, то остаток ее рассматривается как средства, участвовавшие в бюджетном регулировании на не формализованной основе, что делает непрозрачной методику такого регулирования. На этом основании ряд экономистов высказывается за отказ от использования данной формы оказания финансовой помощи бюджетам другого уровня. Непогашенная часть бюджетной ссуды в следующ</w:t>
      </w:r>
      <w:r w:rsidR="000F7DE6">
        <w:rPr>
          <w:sz w:val="28"/>
          <w:szCs w:val="28"/>
        </w:rPr>
        <w:t>е</w:t>
      </w:r>
      <w:r w:rsidRPr="00D7077B">
        <w:rPr>
          <w:sz w:val="28"/>
          <w:szCs w:val="28"/>
        </w:rPr>
        <w:t>м бюджетном году подлежит незамедлительному возврату или погашению за счет уменьшения финансовой помощи, оказываемой из бюджета, которому она должна быть возвращена. Применение бюджетной ссуды в России вызвано также нестабильной экономической ситуацией, при которой в условиях бюджетного кризиса и низкого уровня оборотной кассовой наличности, а нередко и в связи с ее отсутствием в территориальных бюджетах не хватало средств для финансирования предусмотренных расходов. В этих условиях бюджетная ссуда подчас не погашались до конца года. Так, остатки невозвращенных в федеральный бюджет бюджетной ссуды на начало 200</w:t>
      </w:r>
      <w:r w:rsidR="000F7DE6">
        <w:rPr>
          <w:sz w:val="28"/>
          <w:szCs w:val="28"/>
        </w:rPr>
        <w:t>7</w:t>
      </w:r>
      <w:r w:rsidRPr="00D7077B">
        <w:rPr>
          <w:sz w:val="28"/>
          <w:szCs w:val="28"/>
        </w:rPr>
        <w:t xml:space="preserve"> составили 6,25 млрд р. Согласно Бюджетному кодексу РФ при финансировании бюджетных расходов в форме, предусматривающей предоставление средств юридическим лицам или другому бюджету только на возвратной и возмездной основах, применяется бюджетный кредит.</w:t>
      </w:r>
    </w:p>
    <w:p w:rsidR="00D7077B" w:rsidRDefault="00D7077B" w:rsidP="00D7077B">
      <w:pPr>
        <w:spacing w:line="360" w:lineRule="auto"/>
        <w:jc w:val="both"/>
        <w:rPr>
          <w:b/>
          <w:sz w:val="28"/>
          <w:szCs w:val="28"/>
        </w:rPr>
      </w:pPr>
    </w:p>
    <w:p w:rsidR="00D7077B" w:rsidRPr="00D7077B" w:rsidRDefault="00D7077B" w:rsidP="00D7077B">
      <w:pPr>
        <w:spacing w:line="360" w:lineRule="auto"/>
        <w:jc w:val="both"/>
        <w:rPr>
          <w:b/>
          <w:sz w:val="28"/>
          <w:szCs w:val="28"/>
        </w:rPr>
      </w:pPr>
      <w:r w:rsidRPr="00D7077B">
        <w:rPr>
          <w:b/>
          <w:sz w:val="28"/>
          <w:szCs w:val="28"/>
        </w:rPr>
        <w:t>БЮДЖЕТНЫЙ КРЕДИТ</w:t>
      </w:r>
    </w:p>
    <w:p w:rsidR="00D7077B" w:rsidRPr="00D7077B" w:rsidRDefault="00D7077B" w:rsidP="00D7077B">
      <w:pPr>
        <w:spacing w:line="360" w:lineRule="auto"/>
        <w:jc w:val="both"/>
        <w:rPr>
          <w:sz w:val="28"/>
          <w:szCs w:val="28"/>
        </w:rPr>
      </w:pPr>
      <w:r w:rsidRPr="00D7077B">
        <w:rPr>
          <w:sz w:val="28"/>
          <w:szCs w:val="28"/>
        </w:rPr>
        <w:t xml:space="preserve">(англ. budget credit) </w:t>
      </w:r>
      <w:r>
        <w:rPr>
          <w:sz w:val="28"/>
          <w:szCs w:val="28"/>
        </w:rPr>
        <w:t>–</w:t>
      </w:r>
      <w:r w:rsidRPr="00D7077B">
        <w:rPr>
          <w:sz w:val="28"/>
          <w:szCs w:val="28"/>
        </w:rPr>
        <w:t xml:space="preserve"> одна из форм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 Получатели бюджетного кредита обязаны вернуть его (погасить отсроченные платежи) в установленный срок и уплатить проценты за пользование им. Порядок получения и пользования бюджетным кредитом зависит от того, является ли хозяйствующий субъект государственным и муниципальным унитарным предприятием или не является им. Государственные и муниципальные унитарные предприятия получают процентные и беспроцентные бюджетные кредиты на условиях и в пределах лимитов, которые предусмотрены соответс</w:t>
      </w:r>
      <w:r w:rsidR="000F7DE6">
        <w:rPr>
          <w:sz w:val="28"/>
          <w:szCs w:val="28"/>
        </w:rPr>
        <w:t>т</w:t>
      </w:r>
      <w:r w:rsidRPr="00D7077B">
        <w:rPr>
          <w:sz w:val="28"/>
          <w:szCs w:val="28"/>
        </w:rPr>
        <w:t>вующими бюджетами. Предоставление и пользование бюджетными кредитами контролируется органами, исполняющими бюджет, контрольными органами соответствующих законодательных (представительных) органов власти, которым получатели бюджетного кредита обязаны предоставить информацию и отчет об использовании бюджетного кредита. Органы, исполняющие бюджет, либо иные уполно</w:t>
      </w:r>
      <w:r w:rsidR="000F7DE6">
        <w:rPr>
          <w:sz w:val="28"/>
          <w:szCs w:val="28"/>
        </w:rPr>
        <w:t>моченные</w:t>
      </w:r>
      <w:r w:rsidRPr="00D7077B">
        <w:rPr>
          <w:sz w:val="28"/>
          <w:szCs w:val="28"/>
        </w:rPr>
        <w:t xml:space="preserve"> органы ведут реестры всех предоставлении бюджетного кредита по их получателям. Юридические лица, не являющиеся государственными или муниципальными унитарными предприятиями и бюджетными учреждениями, могут получить бюджетный кредит на основании договора, заключенного в соответствии с гражданским законодательством РФ и Бюджетным кодексом РФ, только при условии представления документов, подтверждающих платежеспособность заемщика и его готовность исполнить обязательство по возврату кредита. Способами обеспечения исполнения обязательств по возврату могут быть только банковские гарантии, поручительства, залог имущества (в т.ч. в виде акций, иных ценных бумаг, паев), в размере не менее 100% предоставляемого бюджетного кредита при условии высокой степени их ликвидности. При предоставлении бюджетного кредита финансовый орган или по его поручению уполномоченный орган обязательно проводит предварительную проверку финансового состояния получателя бюджетного кредита. Кроме того, учитывается выполнение заемщиком требований бюджетной дисциплины: кредит может быть предоставлен только юридическим лицам, не имеющим просроченной задолженности по бюджетным средствам, ранее предоставленной им на возвратной основе. Средства бюджетного кредита перечисляются заемщику на его бюджетный счет в кредитной организации. Дальнейшие операции и платежи за счет средств бюджетного кредита заемщик осуществляет самостоятельно в соответствии с целями бюджетного кредита и в порядке, предусмотренным Бюджетным кодексом РФ и гражданским законодательством РФ. При этом финансовый орган или по его поручению уполномоч</w:t>
      </w:r>
      <w:r w:rsidR="000F7DE6">
        <w:rPr>
          <w:sz w:val="28"/>
          <w:szCs w:val="28"/>
        </w:rPr>
        <w:t>енный</w:t>
      </w:r>
      <w:r w:rsidRPr="00D7077B">
        <w:rPr>
          <w:sz w:val="28"/>
          <w:szCs w:val="28"/>
        </w:rPr>
        <w:t xml:space="preserve"> орган имеет право проводить проверку финансового состояния заемщика во время всего срока действия бюджетного кредита, а также проводить проверку его целевого использования. Возврат предоставляется юридическим лицам бюджетных средств, плата за пользование ими приравниваются к платежам в бюджет. Планирование бюджетного кредита осуществляется в процессе формирования бюджета на очередной финансовый год. При рассмотрении проекта бюджета в законодательном (представительном) органе власти анализируются параметры проекта программы предоставления бюджетных средств на возвратной основе по каждому виду расходов. При утверждении бюджета обязательно указываются: цели, на которые могут быть предоставлены бюджетные кредиты; условия и порядок их предоставления; лимиты выделения бюджетных кредитов на срок в пределах года и на срок, выходящий за пределы бюджетного года; ограничения по субъектам использования бюджетного кредита. По истечении бюджетного года составляется отчет о предоставлении и погашении бюджетного кредита (прилагается к отчету об исполнении бюджета). Финансовые органы несут ответственность за соблюдение установленного порядка предоставления заемщикам бюджетного кредита. Отклонение от этого порядка, допущенное финансовым органом, принятие в обеспечение бюджетного кредита низколиквидного имущества рассматриваются как нарушение бюджетного законодательства РФ и служат основанием для привлечения к ответственности должностных лиц, допустивших выдачу бюджетного кредита с нарушением установленного порядка. Как новая форма централизованного перераспределения финансовых ресурсов, бюджетные кредиты появились после 2-й мировой войны и быстро превратились в активный инструмент государства по структурной перестройке экономики. Наибольшее распространение бюджетные кредиты получили в Великобритании, где они выдаются из Национального фонда займов государственным корпорациям и местным органам самоуправления сроком на 5, 10, 15 и 25 лет под очень высокие проценты (13-14% годовых). Во Франции бюджетные кредиты поступают заемщикам через Фонд экономического и социального развития, формирование которого в значит, мере осуществляется за счет бюджетных средств. Фонд выдает долгосрочные займы сроком от 7 до 20 лет, причем не только государственным корпорациям, но и частным монополиям; особенно крупные займы предост</w:t>
      </w:r>
      <w:r w:rsidR="000F7DE6">
        <w:rPr>
          <w:sz w:val="28"/>
          <w:szCs w:val="28"/>
        </w:rPr>
        <w:t>авляются производителям сельско</w:t>
      </w:r>
      <w:r w:rsidRPr="00D7077B">
        <w:rPr>
          <w:sz w:val="28"/>
          <w:szCs w:val="28"/>
        </w:rPr>
        <w:t>хозяйс</w:t>
      </w:r>
      <w:r w:rsidR="000F7DE6">
        <w:rPr>
          <w:sz w:val="28"/>
          <w:szCs w:val="28"/>
        </w:rPr>
        <w:t>т</w:t>
      </w:r>
      <w:r w:rsidRPr="00D7077B">
        <w:rPr>
          <w:sz w:val="28"/>
          <w:szCs w:val="28"/>
        </w:rPr>
        <w:t xml:space="preserve">венной продукции. В России бюджетные кредиты стали использоваться сравнительно недавно </w:t>
      </w:r>
      <w:r w:rsidR="000F7DE6">
        <w:rPr>
          <w:sz w:val="28"/>
          <w:szCs w:val="28"/>
        </w:rPr>
        <w:t xml:space="preserve">– </w:t>
      </w:r>
      <w:r w:rsidRPr="00D7077B">
        <w:rPr>
          <w:sz w:val="28"/>
          <w:szCs w:val="28"/>
        </w:rPr>
        <w:t>после перевода экономики страны на рыночные основы хозяйствования. Предоставляются они в большинстве своем на инвестиционные цели и служат одной из форм государственной финансовой поддержки предприятий, осуществляющих структурную перестройку производства, модернизацию оборудования и т.п. Бюджетные кредиты могут получить российские предприятия и организации, являющиеся юридическими лицами (за исключением предприятий с участием иностранного капитала) при соблюдении ими установленных требований, дающих право на бюджетный кредит. Одинаковую экономическую суть с бюджетным кредитом имеют бюджетные ссуды; они выдаются из вышестоящего бюджета исполнит, органом регионального и муниципальных уровней на покрытие внутригодовых кассовых разрывов, образующихся в региональных и местных бюджетах в ходе их исполнения. Бюджетный кредит следует отличать от государственных кредитов, предоставляемых Россией иностранным государствам; на основе государственных кредитов возникают долговые обязательства иностранных государств перед Российской Федерацией.</w:t>
      </w:r>
    </w:p>
    <w:p w:rsidR="000F7DE6" w:rsidRDefault="000F7DE6" w:rsidP="00D7077B">
      <w:pPr>
        <w:spacing w:line="360" w:lineRule="auto"/>
        <w:jc w:val="both"/>
        <w:rPr>
          <w:b/>
          <w:sz w:val="28"/>
          <w:szCs w:val="28"/>
        </w:rPr>
      </w:pPr>
    </w:p>
    <w:p w:rsidR="000F7DE6" w:rsidRPr="00D7077B" w:rsidRDefault="000F7DE6" w:rsidP="000F7DE6">
      <w:pPr>
        <w:spacing w:line="360" w:lineRule="auto"/>
        <w:jc w:val="both"/>
        <w:rPr>
          <w:b/>
          <w:sz w:val="28"/>
          <w:szCs w:val="28"/>
        </w:rPr>
      </w:pPr>
      <w:r w:rsidRPr="00D7077B">
        <w:rPr>
          <w:b/>
          <w:sz w:val="28"/>
          <w:szCs w:val="28"/>
        </w:rPr>
        <w:t>ТРАНСФЕРТ</w:t>
      </w:r>
    </w:p>
    <w:p w:rsidR="000F7DE6" w:rsidRPr="000F7DE6" w:rsidRDefault="000F7DE6" w:rsidP="00D7077B">
      <w:pPr>
        <w:spacing w:line="360" w:lineRule="auto"/>
        <w:jc w:val="both"/>
        <w:rPr>
          <w:sz w:val="28"/>
          <w:szCs w:val="28"/>
        </w:rPr>
      </w:pPr>
      <w:r w:rsidRPr="00D7077B">
        <w:rPr>
          <w:sz w:val="28"/>
          <w:szCs w:val="28"/>
        </w:rPr>
        <w:t xml:space="preserve">(англ. transfer) </w:t>
      </w:r>
      <w:r>
        <w:rPr>
          <w:sz w:val="28"/>
          <w:szCs w:val="28"/>
        </w:rPr>
        <w:t>–</w:t>
      </w:r>
      <w:r w:rsidRPr="00D7077B">
        <w:rPr>
          <w:sz w:val="28"/>
          <w:szCs w:val="28"/>
        </w:rPr>
        <w:t xml:space="preserve"> односторонняя передача на безвозмездной и безвозвратной основе денежных средств, товаров, услуг, материальных ценностей (права собственности) в порядке оказания финансовой помощи и предоставления компенсации. Значит, часть трансферта носит социальный характер: различные выплаты, льготы, помощь гражданам, предоставляемая в натуральной форме. В бюджетной сфере под трансфертом понимают любые формы перевода средств из бюджета одного уровня бюджетной системы в бюджет другого уровня, отчисления от налогов в порядке бюджетного регулирования. С помощью трансферта региональные и местные бюджеты, органы социальной защиты населения получают средства для финансирования обязательных выплат населению: пенсий, стипендий, пособий, компенсаций, других социальных выплат, установленных государственным законодательством и нормативными актами органов местного самоуправления. В России к трансферту относят дотации, определяемые на формализованной основе из Фонда фи</w:t>
      </w:r>
      <w:r>
        <w:rPr>
          <w:sz w:val="28"/>
          <w:szCs w:val="28"/>
        </w:rPr>
        <w:t>нансовой поддержки регионов</w:t>
      </w:r>
      <w:r w:rsidRPr="00D7077B">
        <w:rPr>
          <w:sz w:val="28"/>
          <w:szCs w:val="28"/>
        </w:rPr>
        <w:t xml:space="preserve"> или Фонда финансовой поддержки муниципальных образований. Эти фонды создаются соответственно в федеральном бюджете, в бюджетах субъектов РФ и распределяются исходя из рассчитываемых по формулам долей (в %) субъектов РФ или муниципальных образований в фондах. Принятый в России со II кв. 1994 метод определения величины трансферта состоит в установлении относительной нуждаемости в бюджетных средствах конкретного территориального образования по сравнению с другими территориальными образованиями, также испытывающими потребность в финансовой помощи. Такой подход (если исключить капиталовложения, которые могут иметь большие перепады по годам) достаточно достоверно и устойчиво отражает «наиболее бедные», «бедные» и «благополучные» в финансовом отношении территориальные образования. Объем же фонда финансовой поддержки определяется исходя из возможностей соответственно федерального бюджета и бюджета субъекта РФ. С 1999 начался новый этап реформирования межбюджетных отношений. В российской экономической практике термин трансферт стал употребляться с 1991 в связи со вступлением в Международный валютный фонд и Международный банк ре</w:t>
      </w:r>
      <w:r>
        <w:rPr>
          <w:sz w:val="28"/>
          <w:szCs w:val="28"/>
        </w:rPr>
        <w:t xml:space="preserve">конструкции и развития </w:t>
      </w:r>
      <w:r w:rsidRPr="00D7077B">
        <w:rPr>
          <w:sz w:val="28"/>
          <w:szCs w:val="28"/>
        </w:rPr>
        <w:t xml:space="preserve">и переходом статистики на систему национальных счетов. Различают текущие и капитальные трансферты. Текущие трансферты осуществляются регулярно, связаны с уменьшением или увеличением текущих доходов граждан и хозяйствующих субъектов. К ним относят: выплаты из бюджета (пенсии, пособия, стипендии); добровольные взносы; гуманитарную помощь и др. Капитальные трансферты </w:t>
      </w:r>
      <w:r>
        <w:rPr>
          <w:sz w:val="28"/>
          <w:szCs w:val="28"/>
        </w:rPr>
        <w:t xml:space="preserve">– </w:t>
      </w:r>
      <w:r w:rsidRPr="00D7077B">
        <w:rPr>
          <w:sz w:val="28"/>
          <w:szCs w:val="28"/>
        </w:rPr>
        <w:t>единовременные, значительные по масштабу безвозмездные передачи средств, связанные с приобретением или выбытием активов; получение субсидий на капитального вложения из бюджета; продажа основных фондов по ценам ниже рыночных или их безвозмездная передача и др. Текущие и капитальные трансферты могут производиться не только в денежной, но и в натуральной форме (передача права собственности на капитал, предоставление бесплатных или по низким ценам услуг в области культуры, здравоохранения, образования и др.). В функциональной классификации расходов трансферт неприбыльным (некоммерческим) организациям социальной сферы проходят по соответствующим разделам, а трансферты населению отражаются в основных в разделах «Образование», «Здравоохранение и физическая культура», «Социальная политика». Капитальные трансферты подразделяются на: трансферты внутри страны (взносы в уставные фонды предприятий и организаций, средства, передаваемые на финансирование капитальных вложений или капитального ремонта, покрытие предприятиям убытков прошлых лет, компенсацию потерь основных фондов от стихийных бедствий, компенсации за счет бюджета выплат основных сумм кредитов, предоставленных банками предприятиямтиям и населению и др.), и трансферт за границу (безвозмездная помощь и т.п.). В банковском деле трансфертом называется перечисление средств с одного счета на другой.</w:t>
      </w:r>
    </w:p>
    <w:p w:rsidR="000F7DE6" w:rsidRDefault="000F7DE6" w:rsidP="00D7077B">
      <w:pPr>
        <w:spacing w:line="360" w:lineRule="auto"/>
        <w:jc w:val="both"/>
        <w:rPr>
          <w:b/>
          <w:sz w:val="28"/>
          <w:szCs w:val="28"/>
        </w:rPr>
      </w:pPr>
    </w:p>
    <w:p w:rsidR="00D7077B" w:rsidRPr="00D7077B" w:rsidRDefault="00D7077B" w:rsidP="00D7077B">
      <w:pPr>
        <w:spacing w:line="360" w:lineRule="auto"/>
        <w:jc w:val="both"/>
        <w:rPr>
          <w:b/>
          <w:sz w:val="28"/>
          <w:szCs w:val="28"/>
        </w:rPr>
      </w:pPr>
      <w:r w:rsidRPr="00D7077B">
        <w:rPr>
          <w:b/>
          <w:sz w:val="28"/>
          <w:szCs w:val="28"/>
        </w:rPr>
        <w:t>ДОТАЦИЯ</w:t>
      </w:r>
    </w:p>
    <w:p w:rsidR="00D7077B" w:rsidRDefault="00D7077B" w:rsidP="00D7077B">
      <w:pPr>
        <w:spacing w:line="360" w:lineRule="auto"/>
        <w:jc w:val="both"/>
        <w:rPr>
          <w:sz w:val="28"/>
          <w:szCs w:val="28"/>
        </w:rPr>
      </w:pPr>
      <w:r w:rsidRPr="00D7077B">
        <w:rPr>
          <w:sz w:val="28"/>
          <w:szCs w:val="28"/>
        </w:rPr>
        <w:t xml:space="preserve">(фр. dotation от лат. dotare </w:t>
      </w:r>
      <w:r w:rsidR="000F7DE6">
        <w:rPr>
          <w:sz w:val="28"/>
          <w:szCs w:val="28"/>
        </w:rPr>
        <w:t>–</w:t>
      </w:r>
      <w:r w:rsidRPr="00D7077B">
        <w:rPr>
          <w:sz w:val="28"/>
          <w:szCs w:val="28"/>
        </w:rPr>
        <w:t xml:space="preserve"> снабжать; англ. subsidy от лат. subsidium </w:t>
      </w:r>
      <w:r w:rsidR="000F7DE6">
        <w:rPr>
          <w:sz w:val="28"/>
          <w:szCs w:val="28"/>
        </w:rPr>
        <w:t>–</w:t>
      </w:r>
      <w:r w:rsidRPr="00D7077B">
        <w:rPr>
          <w:sz w:val="28"/>
          <w:szCs w:val="28"/>
        </w:rPr>
        <w:t xml:space="preserve"> помощь, поддержка) </w:t>
      </w:r>
      <w:r w:rsidR="000F7DE6">
        <w:rPr>
          <w:sz w:val="28"/>
          <w:szCs w:val="28"/>
        </w:rPr>
        <w:t>–</w:t>
      </w:r>
      <w:r w:rsidRPr="00D7077B">
        <w:rPr>
          <w:sz w:val="28"/>
          <w:szCs w:val="28"/>
        </w:rPr>
        <w:t xml:space="preserve"> </w:t>
      </w:r>
      <w:r w:rsidR="000F7DE6">
        <w:rPr>
          <w:sz w:val="28"/>
          <w:szCs w:val="28"/>
        </w:rPr>
        <w:t>сум</w:t>
      </w:r>
      <w:r w:rsidRPr="00D7077B">
        <w:rPr>
          <w:sz w:val="28"/>
          <w:szCs w:val="28"/>
        </w:rPr>
        <w:t>ма бюджетных средств, предоставляемая на безвозмездной и безвозвратной основе бюджету нижестоящего уровня бюджетной системы на покрытие минимально необходимых текущих расходов при не</w:t>
      </w:r>
      <w:r w:rsidR="000F7DE6">
        <w:rPr>
          <w:sz w:val="28"/>
          <w:szCs w:val="28"/>
        </w:rPr>
        <w:t>доста</w:t>
      </w:r>
      <w:r w:rsidRPr="00D7077B">
        <w:rPr>
          <w:sz w:val="28"/>
          <w:szCs w:val="28"/>
        </w:rPr>
        <w:t xml:space="preserve">точности налогового потенциала на соответствующих территориях. В РФ к </w:t>
      </w:r>
      <w:r w:rsidR="000F7DE6">
        <w:rPr>
          <w:sz w:val="28"/>
          <w:szCs w:val="28"/>
        </w:rPr>
        <w:t>дотациям относят те суммы финансовой помощи, кото</w:t>
      </w:r>
      <w:r w:rsidRPr="00D7077B">
        <w:rPr>
          <w:sz w:val="28"/>
          <w:szCs w:val="28"/>
        </w:rPr>
        <w:t>рые выделяются бюджетам др</w:t>
      </w:r>
      <w:r w:rsidR="000F7DE6">
        <w:rPr>
          <w:sz w:val="28"/>
          <w:szCs w:val="28"/>
        </w:rPr>
        <w:t>угих</w:t>
      </w:r>
      <w:r w:rsidRPr="00D7077B">
        <w:rPr>
          <w:sz w:val="28"/>
          <w:szCs w:val="28"/>
        </w:rPr>
        <w:t xml:space="preserve"> уровней на текущие расходы без указания конкретной це</w:t>
      </w:r>
      <w:r w:rsidR="000F7DE6">
        <w:rPr>
          <w:sz w:val="28"/>
          <w:szCs w:val="28"/>
        </w:rPr>
        <w:t>ли. Если же бюджетные средства выделяются дотационным</w:t>
      </w:r>
      <w:r w:rsidRPr="00D7077B">
        <w:rPr>
          <w:sz w:val="28"/>
          <w:szCs w:val="28"/>
        </w:rPr>
        <w:t xml:space="preserve"> бюджетам в качестве целевых </w:t>
      </w:r>
      <w:r w:rsidR="000F7DE6">
        <w:rPr>
          <w:sz w:val="28"/>
          <w:szCs w:val="28"/>
        </w:rPr>
        <w:t>дотаций</w:t>
      </w:r>
      <w:r w:rsidRPr="00D7077B">
        <w:rPr>
          <w:sz w:val="28"/>
          <w:szCs w:val="28"/>
        </w:rPr>
        <w:t>, то они предоставляются в форме субвенций, используемых в процессе бюджетного регулирования для финансирования государственных минимальных социальных стандарто</w:t>
      </w:r>
      <w:r w:rsidR="000F7DE6">
        <w:rPr>
          <w:sz w:val="28"/>
          <w:szCs w:val="28"/>
        </w:rPr>
        <w:t>в. В бывшем</w:t>
      </w:r>
      <w:r w:rsidRPr="00D7077B">
        <w:rPr>
          <w:sz w:val="28"/>
          <w:szCs w:val="28"/>
        </w:rPr>
        <w:t xml:space="preserve"> СССР </w:t>
      </w:r>
      <w:r w:rsidR="000F7DE6">
        <w:rPr>
          <w:sz w:val="28"/>
          <w:szCs w:val="28"/>
        </w:rPr>
        <w:t>дотации</w:t>
      </w:r>
      <w:r w:rsidRPr="00D7077B">
        <w:rPr>
          <w:sz w:val="28"/>
          <w:szCs w:val="28"/>
        </w:rPr>
        <w:t xml:space="preserve"> предостав</w:t>
      </w:r>
      <w:r w:rsidR="000F7DE6">
        <w:rPr>
          <w:sz w:val="28"/>
          <w:szCs w:val="28"/>
        </w:rPr>
        <w:t>лялись также юридическим</w:t>
      </w:r>
      <w:r w:rsidRPr="00D7077B">
        <w:rPr>
          <w:sz w:val="28"/>
          <w:szCs w:val="28"/>
        </w:rPr>
        <w:t xml:space="preserve"> ли</w:t>
      </w:r>
      <w:r w:rsidR="000F7DE6">
        <w:rPr>
          <w:sz w:val="28"/>
          <w:szCs w:val="28"/>
        </w:rPr>
        <w:t>цам с целью финансовой</w:t>
      </w:r>
      <w:r w:rsidRPr="00D7077B">
        <w:rPr>
          <w:sz w:val="28"/>
          <w:szCs w:val="28"/>
        </w:rPr>
        <w:t xml:space="preserve"> поддерж</w:t>
      </w:r>
      <w:r w:rsidR="000F7DE6">
        <w:rPr>
          <w:sz w:val="28"/>
          <w:szCs w:val="28"/>
        </w:rPr>
        <w:t>ки отдельных</w:t>
      </w:r>
      <w:r w:rsidRPr="00D7077B">
        <w:rPr>
          <w:sz w:val="28"/>
          <w:szCs w:val="28"/>
        </w:rPr>
        <w:t xml:space="preserve"> малодоходных и убыточных производств и целым отраслям в соответствии с проводи</w:t>
      </w:r>
      <w:r w:rsidR="000F7DE6">
        <w:rPr>
          <w:sz w:val="28"/>
          <w:szCs w:val="28"/>
        </w:rPr>
        <w:t>мой государст</w:t>
      </w:r>
      <w:r w:rsidRPr="00D7077B">
        <w:rPr>
          <w:sz w:val="28"/>
          <w:szCs w:val="28"/>
        </w:rPr>
        <w:t>вом эконо</w:t>
      </w:r>
      <w:r w:rsidR="000F7DE6">
        <w:rPr>
          <w:sz w:val="28"/>
          <w:szCs w:val="28"/>
        </w:rPr>
        <w:t>мической</w:t>
      </w:r>
      <w:r w:rsidRPr="00D7077B">
        <w:rPr>
          <w:sz w:val="28"/>
          <w:szCs w:val="28"/>
        </w:rPr>
        <w:t xml:space="preserve"> политикой. Однако в со</w:t>
      </w:r>
      <w:r w:rsidR="000F7DE6">
        <w:rPr>
          <w:sz w:val="28"/>
          <w:szCs w:val="28"/>
        </w:rPr>
        <w:t>временной</w:t>
      </w:r>
      <w:r w:rsidRPr="00D7077B">
        <w:rPr>
          <w:sz w:val="28"/>
          <w:szCs w:val="28"/>
        </w:rPr>
        <w:t xml:space="preserve"> России </w:t>
      </w:r>
      <w:r w:rsidR="000F7DE6">
        <w:rPr>
          <w:sz w:val="28"/>
          <w:szCs w:val="28"/>
        </w:rPr>
        <w:t>дотации</w:t>
      </w:r>
      <w:r w:rsidRPr="00D7077B">
        <w:rPr>
          <w:sz w:val="28"/>
          <w:szCs w:val="28"/>
        </w:rPr>
        <w:t xml:space="preserve"> юридич</w:t>
      </w:r>
      <w:r w:rsidR="000F7DE6">
        <w:rPr>
          <w:sz w:val="28"/>
          <w:szCs w:val="28"/>
        </w:rPr>
        <w:t>еским</w:t>
      </w:r>
      <w:r w:rsidRPr="00D7077B">
        <w:rPr>
          <w:sz w:val="28"/>
          <w:szCs w:val="28"/>
        </w:rPr>
        <w:t xml:space="preserve"> лицам чаще называют субсидиями. Как вынужденная мера субсидии из бюджета могут предоставляться малодоходным и убыточным по объективным причинам отрас</w:t>
      </w:r>
      <w:r w:rsidR="000F7DE6">
        <w:rPr>
          <w:sz w:val="28"/>
          <w:szCs w:val="28"/>
        </w:rPr>
        <w:t>лям хозяйст</w:t>
      </w:r>
      <w:r w:rsidRPr="00D7077B">
        <w:rPr>
          <w:sz w:val="28"/>
          <w:szCs w:val="28"/>
        </w:rPr>
        <w:t>ва, если последние важны для развития экономики и соц</w:t>
      </w:r>
      <w:r w:rsidR="000F7DE6">
        <w:rPr>
          <w:sz w:val="28"/>
          <w:szCs w:val="28"/>
        </w:rPr>
        <w:t>иальной</w:t>
      </w:r>
      <w:r w:rsidRPr="00D7077B">
        <w:rPr>
          <w:sz w:val="28"/>
          <w:szCs w:val="28"/>
        </w:rPr>
        <w:t xml:space="preserve"> сферы. С упрочением рыночных основ хозяйствования в экономике страны будет происходить процесс сокращения и постепенной ликвидации субси</w:t>
      </w:r>
      <w:r w:rsidR="000F7DE6">
        <w:rPr>
          <w:sz w:val="28"/>
          <w:szCs w:val="28"/>
        </w:rPr>
        <w:t>дий, связанных</w:t>
      </w:r>
      <w:r w:rsidRPr="00D7077B">
        <w:rPr>
          <w:sz w:val="28"/>
          <w:szCs w:val="28"/>
        </w:rPr>
        <w:t xml:space="preserve"> с неэффективной работой предприятий.</w:t>
      </w:r>
    </w:p>
    <w:p w:rsidR="000F7DE6" w:rsidRDefault="000F7DE6" w:rsidP="00D7077B">
      <w:pPr>
        <w:spacing w:line="360" w:lineRule="auto"/>
        <w:jc w:val="both"/>
        <w:rPr>
          <w:b/>
          <w:sz w:val="28"/>
          <w:szCs w:val="28"/>
        </w:rPr>
      </w:pPr>
    </w:p>
    <w:p w:rsidR="00D7077B" w:rsidRPr="00D7077B" w:rsidRDefault="00D7077B" w:rsidP="00D7077B">
      <w:pPr>
        <w:spacing w:line="360" w:lineRule="auto"/>
        <w:jc w:val="both"/>
        <w:rPr>
          <w:b/>
          <w:sz w:val="28"/>
          <w:szCs w:val="28"/>
        </w:rPr>
      </w:pPr>
      <w:r w:rsidRPr="00D7077B">
        <w:rPr>
          <w:b/>
          <w:sz w:val="28"/>
          <w:szCs w:val="28"/>
        </w:rPr>
        <w:t>СУБВЕНЦИЯ</w:t>
      </w:r>
    </w:p>
    <w:p w:rsidR="00D7077B" w:rsidRDefault="00D7077B" w:rsidP="00D7077B">
      <w:pPr>
        <w:spacing w:line="360" w:lineRule="auto"/>
        <w:jc w:val="both"/>
        <w:rPr>
          <w:sz w:val="28"/>
          <w:szCs w:val="28"/>
        </w:rPr>
      </w:pPr>
      <w:r w:rsidRPr="00D7077B">
        <w:rPr>
          <w:sz w:val="28"/>
          <w:szCs w:val="28"/>
        </w:rPr>
        <w:t xml:space="preserve">(англ. subvention) </w:t>
      </w:r>
      <w:r w:rsidR="000F7DE6">
        <w:rPr>
          <w:sz w:val="28"/>
          <w:szCs w:val="28"/>
        </w:rPr>
        <w:t>–</w:t>
      </w:r>
      <w:r w:rsidRPr="00D7077B">
        <w:rPr>
          <w:sz w:val="28"/>
          <w:szCs w:val="28"/>
        </w:rPr>
        <w:t xml:space="preserve"> бюджетные средства, предоставляемые на безвозмездной и безвозвратной основе из бюджета одного уровня бюджетной системы бюджету другого уровня или юридическому лицу на определенные целевые расходы с указанием срока использования. Если </w:t>
      </w:r>
      <w:r w:rsidR="000F7DE6">
        <w:rPr>
          <w:sz w:val="28"/>
          <w:szCs w:val="28"/>
        </w:rPr>
        <w:t>субвенция</w:t>
      </w:r>
      <w:r w:rsidRPr="00D7077B">
        <w:rPr>
          <w:sz w:val="28"/>
          <w:szCs w:val="28"/>
        </w:rPr>
        <w:t xml:space="preserve"> выделяется с указанием </w:t>
      </w:r>
      <w:r w:rsidR="000F7DE6">
        <w:rPr>
          <w:sz w:val="28"/>
          <w:szCs w:val="28"/>
        </w:rPr>
        <w:t>дополнительных</w:t>
      </w:r>
      <w:r w:rsidRPr="00D7077B">
        <w:rPr>
          <w:sz w:val="28"/>
          <w:szCs w:val="28"/>
        </w:rPr>
        <w:t xml:space="preserve"> условий, она называется «обусловленной </w:t>
      </w:r>
      <w:r w:rsidR="000F7DE6">
        <w:rPr>
          <w:sz w:val="28"/>
          <w:szCs w:val="28"/>
        </w:rPr>
        <w:t>субвенцией</w:t>
      </w:r>
      <w:r w:rsidRPr="00D7077B">
        <w:rPr>
          <w:sz w:val="28"/>
          <w:szCs w:val="28"/>
        </w:rPr>
        <w:t xml:space="preserve">». В случае неизрасходования </w:t>
      </w:r>
      <w:r w:rsidR="000F7DE6">
        <w:rPr>
          <w:sz w:val="28"/>
          <w:szCs w:val="28"/>
        </w:rPr>
        <w:t>субвенции в установленный</w:t>
      </w:r>
      <w:r w:rsidRPr="00D7077B">
        <w:rPr>
          <w:sz w:val="28"/>
          <w:szCs w:val="28"/>
        </w:rPr>
        <w:t xml:space="preserve"> срок или расходования ее не по целевому назначению со</w:t>
      </w:r>
      <w:r w:rsidR="000F7DE6">
        <w:rPr>
          <w:sz w:val="28"/>
          <w:szCs w:val="28"/>
        </w:rPr>
        <w:t>ответствующие</w:t>
      </w:r>
      <w:r w:rsidRPr="00D7077B">
        <w:rPr>
          <w:sz w:val="28"/>
          <w:szCs w:val="28"/>
        </w:rPr>
        <w:t xml:space="preserve"> средства подлежат возврату в бюд</w:t>
      </w:r>
      <w:r w:rsidR="000F7DE6">
        <w:rPr>
          <w:sz w:val="28"/>
          <w:szCs w:val="28"/>
        </w:rPr>
        <w:t>жет, из кото</w:t>
      </w:r>
      <w:r w:rsidRPr="00D7077B">
        <w:rPr>
          <w:sz w:val="28"/>
          <w:szCs w:val="28"/>
        </w:rPr>
        <w:t xml:space="preserve">рого </w:t>
      </w:r>
      <w:r w:rsidR="000F7DE6">
        <w:rPr>
          <w:sz w:val="28"/>
          <w:szCs w:val="28"/>
        </w:rPr>
        <w:t>субвенция</w:t>
      </w:r>
      <w:r w:rsidRPr="00D7077B">
        <w:rPr>
          <w:sz w:val="28"/>
          <w:szCs w:val="28"/>
        </w:rPr>
        <w:t xml:space="preserve"> была получена. Чаще </w:t>
      </w:r>
      <w:r w:rsidR="000F7DE6">
        <w:rPr>
          <w:sz w:val="28"/>
          <w:szCs w:val="28"/>
        </w:rPr>
        <w:t>субвенция</w:t>
      </w:r>
      <w:r w:rsidRPr="00D7077B">
        <w:rPr>
          <w:sz w:val="28"/>
          <w:szCs w:val="28"/>
        </w:rPr>
        <w:t xml:space="preserve"> предусматривается на капиталовложения в конкретные объекты по целевым федер</w:t>
      </w:r>
      <w:r w:rsidR="000F7DE6">
        <w:rPr>
          <w:sz w:val="28"/>
          <w:szCs w:val="28"/>
        </w:rPr>
        <w:t>альным</w:t>
      </w:r>
      <w:r w:rsidRPr="00D7077B">
        <w:rPr>
          <w:sz w:val="28"/>
          <w:szCs w:val="28"/>
        </w:rPr>
        <w:t xml:space="preserve"> и реги</w:t>
      </w:r>
      <w:r w:rsidR="000F7DE6">
        <w:rPr>
          <w:sz w:val="28"/>
          <w:szCs w:val="28"/>
        </w:rPr>
        <w:t>ональным</w:t>
      </w:r>
      <w:r w:rsidRPr="00D7077B">
        <w:rPr>
          <w:sz w:val="28"/>
          <w:szCs w:val="28"/>
        </w:rPr>
        <w:t xml:space="preserve"> программам. По мере того как в РФ все в большей степени будет происходить переход на программно-целевой метод </w:t>
      </w:r>
      <w:r w:rsidR="000F7DE6">
        <w:rPr>
          <w:sz w:val="28"/>
          <w:szCs w:val="28"/>
        </w:rPr>
        <w:t xml:space="preserve">бюджетного </w:t>
      </w:r>
      <w:r w:rsidRPr="00D7077B">
        <w:rPr>
          <w:sz w:val="28"/>
          <w:szCs w:val="28"/>
        </w:rPr>
        <w:t xml:space="preserve">финансирования, можно ожидать расширения сферы применения </w:t>
      </w:r>
      <w:r w:rsidR="000F7DE6">
        <w:rPr>
          <w:sz w:val="28"/>
          <w:szCs w:val="28"/>
        </w:rPr>
        <w:t>субвенций</w:t>
      </w:r>
      <w:r w:rsidRPr="00D7077B">
        <w:rPr>
          <w:sz w:val="28"/>
          <w:szCs w:val="28"/>
        </w:rPr>
        <w:t xml:space="preserve"> и на текущие расходы. В странах с развитой рыночной экономикой (США, Италия, Германия, Япония и др.) метод выделе</w:t>
      </w:r>
      <w:r w:rsidR="000F7DE6">
        <w:rPr>
          <w:sz w:val="28"/>
          <w:szCs w:val="28"/>
        </w:rPr>
        <w:t>ния бюджетных</w:t>
      </w:r>
      <w:r w:rsidRPr="00D7077B">
        <w:rPr>
          <w:sz w:val="28"/>
          <w:szCs w:val="28"/>
        </w:rPr>
        <w:t xml:space="preserve"> средств в форме </w:t>
      </w:r>
      <w:r w:rsidR="000F7DE6">
        <w:rPr>
          <w:sz w:val="28"/>
          <w:szCs w:val="28"/>
        </w:rPr>
        <w:t>субвенций</w:t>
      </w:r>
      <w:r w:rsidRPr="00D7077B">
        <w:rPr>
          <w:sz w:val="28"/>
          <w:szCs w:val="28"/>
        </w:rPr>
        <w:t xml:space="preserve"> получил широкое распространение.</w:t>
      </w:r>
    </w:p>
    <w:p w:rsidR="000F7DE6" w:rsidRDefault="000F7DE6" w:rsidP="00D7077B">
      <w:pPr>
        <w:spacing w:line="360" w:lineRule="auto"/>
        <w:jc w:val="both"/>
        <w:rPr>
          <w:b/>
          <w:sz w:val="28"/>
          <w:szCs w:val="28"/>
        </w:rPr>
      </w:pPr>
    </w:p>
    <w:p w:rsidR="00D7077B" w:rsidRPr="00D7077B" w:rsidRDefault="00D7077B" w:rsidP="00D7077B">
      <w:pPr>
        <w:spacing w:line="360" w:lineRule="auto"/>
        <w:jc w:val="both"/>
        <w:rPr>
          <w:b/>
          <w:sz w:val="28"/>
          <w:szCs w:val="28"/>
        </w:rPr>
      </w:pPr>
      <w:r w:rsidRPr="00D7077B">
        <w:rPr>
          <w:b/>
          <w:sz w:val="28"/>
          <w:szCs w:val="28"/>
        </w:rPr>
        <w:t>СУБСИДИЯ</w:t>
      </w:r>
    </w:p>
    <w:p w:rsidR="00D7077B" w:rsidRDefault="00D7077B" w:rsidP="00D7077B">
      <w:pPr>
        <w:spacing w:line="360" w:lineRule="auto"/>
        <w:jc w:val="both"/>
        <w:rPr>
          <w:sz w:val="28"/>
          <w:szCs w:val="28"/>
        </w:rPr>
      </w:pPr>
      <w:r w:rsidRPr="00D7077B">
        <w:rPr>
          <w:sz w:val="28"/>
          <w:szCs w:val="28"/>
        </w:rPr>
        <w:t xml:space="preserve">(англ. subsidy, фр. subside) </w:t>
      </w:r>
      <w:r w:rsidR="000F7DE6">
        <w:rPr>
          <w:sz w:val="28"/>
          <w:szCs w:val="28"/>
        </w:rPr>
        <w:t>–</w:t>
      </w:r>
      <w:r w:rsidRPr="00D7077B">
        <w:rPr>
          <w:sz w:val="28"/>
          <w:szCs w:val="28"/>
        </w:rPr>
        <w:t xml:space="preserve"> бюджетные средства, безвозмездно выделяемые из бюджета одного уровня бюджетной системы бюджету другого уровня, а также денежные средства, предоставляемые из бюджетов и внебюджетных фондов юридическим лицам (не являющимся бюджетными учреждениями) и физическим лицам </w:t>
      </w:r>
      <w:r w:rsidR="000F7DE6">
        <w:rPr>
          <w:sz w:val="28"/>
          <w:szCs w:val="28"/>
        </w:rPr>
        <w:t>–</w:t>
      </w:r>
      <w:r w:rsidRPr="00D7077B">
        <w:rPr>
          <w:sz w:val="28"/>
          <w:szCs w:val="28"/>
        </w:rPr>
        <w:t xml:space="preserve"> предпринимателям с целью экономического воздействия на развитие их деятельности и финансовой поддержки, исходя из проводимой государством экономической политики. Кроме того, </w:t>
      </w:r>
      <w:r w:rsidR="000F7DE6">
        <w:rPr>
          <w:sz w:val="28"/>
          <w:szCs w:val="28"/>
        </w:rPr>
        <w:t>субсидии</w:t>
      </w:r>
      <w:r w:rsidRPr="00D7077B">
        <w:rPr>
          <w:sz w:val="28"/>
          <w:szCs w:val="28"/>
        </w:rPr>
        <w:t xml:space="preserve"> предоставляются определенным слоям населения в соответствии с законодательством в порядке оказания помощи с целью ст</w:t>
      </w:r>
      <w:r w:rsidR="000F7DE6">
        <w:rPr>
          <w:sz w:val="28"/>
          <w:szCs w:val="28"/>
        </w:rPr>
        <w:t>имулирования потребления. В некоторых стра</w:t>
      </w:r>
      <w:r w:rsidRPr="00D7077B">
        <w:rPr>
          <w:sz w:val="28"/>
          <w:szCs w:val="28"/>
        </w:rPr>
        <w:t xml:space="preserve">нах практикуется </w:t>
      </w:r>
      <w:r w:rsidR="000F7DE6">
        <w:rPr>
          <w:sz w:val="28"/>
          <w:szCs w:val="28"/>
        </w:rPr>
        <w:t>субсидия</w:t>
      </w:r>
      <w:r w:rsidRPr="00D7077B">
        <w:rPr>
          <w:sz w:val="28"/>
          <w:szCs w:val="28"/>
        </w:rPr>
        <w:t xml:space="preserve"> на конкурсной основе, с установлением оп</w:t>
      </w:r>
      <w:r w:rsidR="000F7DE6">
        <w:rPr>
          <w:sz w:val="28"/>
          <w:szCs w:val="28"/>
        </w:rPr>
        <w:t>ределенных</w:t>
      </w:r>
      <w:r w:rsidRPr="00D7077B">
        <w:rPr>
          <w:sz w:val="28"/>
          <w:szCs w:val="28"/>
        </w:rPr>
        <w:t xml:space="preserve"> условий (напр., с условием, ч</w:t>
      </w:r>
      <w:r w:rsidR="000F7DE6">
        <w:rPr>
          <w:sz w:val="28"/>
          <w:szCs w:val="28"/>
        </w:rPr>
        <w:t>то часть средств на цели, под кото</w:t>
      </w:r>
      <w:r w:rsidRPr="00D7077B">
        <w:rPr>
          <w:sz w:val="28"/>
          <w:szCs w:val="28"/>
        </w:rPr>
        <w:t xml:space="preserve">рые выделяется </w:t>
      </w:r>
      <w:r w:rsidR="000F7DE6">
        <w:rPr>
          <w:sz w:val="28"/>
          <w:szCs w:val="28"/>
        </w:rPr>
        <w:t>субсидия из федерального</w:t>
      </w:r>
      <w:r w:rsidRPr="00D7077B">
        <w:rPr>
          <w:sz w:val="28"/>
          <w:szCs w:val="28"/>
        </w:rPr>
        <w:t xml:space="preserve"> бюджета, должна предусматриваться в бюджете субъекта федерации). В США были случаи, когда штаты, получавшие право на </w:t>
      </w:r>
      <w:r w:rsidR="000F7DE6">
        <w:rPr>
          <w:sz w:val="28"/>
          <w:szCs w:val="28"/>
        </w:rPr>
        <w:t>субсидию</w:t>
      </w:r>
      <w:r w:rsidRPr="00D7077B">
        <w:rPr>
          <w:sz w:val="28"/>
          <w:szCs w:val="28"/>
        </w:rPr>
        <w:t xml:space="preserve"> по конкурсу, отказывались от нее в связи с тем, что у них не было возможностей для выполнения таких условий. </w:t>
      </w:r>
      <w:r w:rsidR="000F7DE6">
        <w:rPr>
          <w:sz w:val="28"/>
          <w:szCs w:val="28"/>
        </w:rPr>
        <w:t>Субсидии</w:t>
      </w:r>
      <w:r w:rsidRPr="00D7077B">
        <w:rPr>
          <w:sz w:val="28"/>
          <w:szCs w:val="28"/>
        </w:rPr>
        <w:t>, предоставляемые на опре</w:t>
      </w:r>
      <w:r w:rsidR="000F7DE6">
        <w:rPr>
          <w:sz w:val="28"/>
          <w:szCs w:val="28"/>
        </w:rPr>
        <w:t>деленных</w:t>
      </w:r>
      <w:r w:rsidRPr="00D7077B">
        <w:rPr>
          <w:sz w:val="28"/>
          <w:szCs w:val="28"/>
        </w:rPr>
        <w:t xml:space="preserve"> условиях, называются «условными» или «обусловленными». </w:t>
      </w:r>
      <w:r w:rsidR="000F7DE6">
        <w:rPr>
          <w:sz w:val="28"/>
          <w:szCs w:val="28"/>
        </w:rPr>
        <w:t>Субсидии</w:t>
      </w:r>
      <w:r w:rsidRPr="00D7077B">
        <w:rPr>
          <w:sz w:val="28"/>
          <w:szCs w:val="28"/>
        </w:rPr>
        <w:t xml:space="preserve"> иногда могут предоставляться в натуральной форме. Субсидирование может быть прямым и косвенным. К косвенному относится, напр., предоставление государством разл</w:t>
      </w:r>
      <w:r w:rsidR="000F7DE6">
        <w:rPr>
          <w:sz w:val="28"/>
          <w:szCs w:val="28"/>
        </w:rPr>
        <w:t>ичных</w:t>
      </w:r>
      <w:r w:rsidRPr="00D7077B">
        <w:rPr>
          <w:sz w:val="28"/>
          <w:szCs w:val="28"/>
        </w:rPr>
        <w:t xml:space="preserve"> льгот, регулирование цен в ущерб бюджету. Термин «субсидия» часто употребляется и как наиболее общее понятие, означающее выделение средств из бюджета одного уров</w:t>
      </w:r>
      <w:r w:rsidR="000F7DE6">
        <w:rPr>
          <w:sz w:val="28"/>
          <w:szCs w:val="28"/>
        </w:rPr>
        <w:t>ня бюджету др. уровня в различных</w:t>
      </w:r>
      <w:r w:rsidRPr="00D7077B">
        <w:rPr>
          <w:sz w:val="28"/>
          <w:szCs w:val="28"/>
        </w:rPr>
        <w:t xml:space="preserve"> формах (без их конкретизации).</w:t>
      </w:r>
    </w:p>
    <w:p w:rsidR="00AA1423" w:rsidRDefault="00AA1423" w:rsidP="00D7077B">
      <w:pPr>
        <w:spacing w:line="360" w:lineRule="auto"/>
        <w:jc w:val="both"/>
        <w:rPr>
          <w:sz w:val="28"/>
          <w:szCs w:val="28"/>
        </w:rPr>
      </w:pPr>
    </w:p>
    <w:p w:rsidR="00AA1423" w:rsidRDefault="00AA1423" w:rsidP="00D7077B">
      <w:pPr>
        <w:spacing w:line="360" w:lineRule="auto"/>
        <w:jc w:val="both"/>
        <w:rPr>
          <w:sz w:val="28"/>
          <w:szCs w:val="28"/>
        </w:rPr>
      </w:pPr>
    </w:p>
    <w:p w:rsidR="00AA1423" w:rsidRDefault="00AA1423">
      <w:pPr>
        <w:jc w:val="center"/>
        <w:sectPr w:rsidR="00AA1423" w:rsidSect="00200245">
          <w:footerReference w:type="even" r:id="rId7"/>
          <w:footerReference w:type="default" r:id="rId8"/>
          <w:pgSz w:w="11906" w:h="16838"/>
          <w:pgMar w:top="1134" w:right="850" w:bottom="1134" w:left="1701" w:header="708" w:footer="708" w:gutter="0"/>
          <w:pgNumType w:start="2"/>
          <w:cols w:space="708"/>
          <w:docGrid w:linePitch="360"/>
        </w:sectPr>
      </w:pPr>
    </w:p>
    <w:tbl>
      <w:tblPr>
        <w:tblW w:w="14421" w:type="dxa"/>
        <w:tblInd w:w="108" w:type="dxa"/>
        <w:tblLayout w:type="fixed"/>
        <w:tblLook w:val="0000" w:firstRow="0" w:lastRow="0" w:firstColumn="0" w:lastColumn="0" w:noHBand="0" w:noVBand="0"/>
      </w:tblPr>
      <w:tblGrid>
        <w:gridCol w:w="540"/>
        <w:gridCol w:w="3240"/>
        <w:gridCol w:w="1080"/>
        <w:gridCol w:w="1620"/>
        <w:gridCol w:w="1087"/>
        <w:gridCol w:w="1440"/>
        <w:gridCol w:w="1087"/>
        <w:gridCol w:w="1440"/>
        <w:gridCol w:w="1220"/>
        <w:gridCol w:w="1667"/>
      </w:tblGrid>
      <w:tr w:rsidR="00AA1423" w:rsidRPr="00AA1423">
        <w:trPr>
          <w:trHeight w:val="420"/>
        </w:trPr>
        <w:tc>
          <w:tcPr>
            <w:tcW w:w="14421"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rsidR="00AA1423" w:rsidRPr="00AA1423" w:rsidRDefault="00AA1423">
            <w:pPr>
              <w:jc w:val="center"/>
              <w:rPr>
                <w:b/>
                <w:sz w:val="22"/>
                <w:szCs w:val="22"/>
              </w:rPr>
            </w:pPr>
            <w:r>
              <w:rPr>
                <w:b/>
                <w:sz w:val="22"/>
                <w:szCs w:val="22"/>
              </w:rPr>
              <w:t>СТРУКТУРА РАСХОДОВ ФЕДЕРАЛЬНОГО БЮДЖЕТА В 2003-2006гг.</w:t>
            </w:r>
          </w:p>
        </w:tc>
      </w:tr>
      <w:tr w:rsidR="00AA1423" w:rsidRPr="00AA1423">
        <w:trPr>
          <w:trHeight w:val="268"/>
        </w:trPr>
        <w:tc>
          <w:tcPr>
            <w:tcW w:w="540" w:type="dxa"/>
            <w:vMerge w:val="restart"/>
            <w:tcBorders>
              <w:top w:val="single" w:sz="4" w:space="0" w:color="auto"/>
              <w:left w:val="single" w:sz="4" w:space="0" w:color="auto"/>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 п/п</w:t>
            </w:r>
          </w:p>
        </w:tc>
        <w:tc>
          <w:tcPr>
            <w:tcW w:w="3240"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Статьи расходов</w:t>
            </w:r>
          </w:p>
        </w:tc>
        <w:tc>
          <w:tcPr>
            <w:tcW w:w="2700" w:type="dxa"/>
            <w:gridSpan w:val="2"/>
            <w:tcBorders>
              <w:top w:val="single" w:sz="4" w:space="0" w:color="auto"/>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2003</w:t>
            </w:r>
          </w:p>
        </w:tc>
        <w:tc>
          <w:tcPr>
            <w:tcW w:w="2527" w:type="dxa"/>
            <w:gridSpan w:val="2"/>
            <w:tcBorders>
              <w:top w:val="single" w:sz="4" w:space="0" w:color="auto"/>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2004</w:t>
            </w:r>
          </w:p>
        </w:tc>
        <w:tc>
          <w:tcPr>
            <w:tcW w:w="2527" w:type="dxa"/>
            <w:gridSpan w:val="2"/>
            <w:tcBorders>
              <w:top w:val="single" w:sz="4" w:space="0" w:color="auto"/>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2005</w:t>
            </w:r>
          </w:p>
        </w:tc>
        <w:tc>
          <w:tcPr>
            <w:tcW w:w="2887" w:type="dxa"/>
            <w:gridSpan w:val="2"/>
            <w:tcBorders>
              <w:top w:val="single" w:sz="4" w:space="0" w:color="auto"/>
              <w:left w:val="nil"/>
              <w:bottom w:val="single" w:sz="8" w:space="0" w:color="auto"/>
              <w:right w:val="single" w:sz="4" w:space="0" w:color="auto"/>
            </w:tcBorders>
            <w:shd w:val="clear" w:color="auto" w:fill="auto"/>
            <w:vAlign w:val="center"/>
          </w:tcPr>
          <w:p w:rsidR="00AA1423" w:rsidRPr="00AA1423" w:rsidRDefault="00AA1423">
            <w:pPr>
              <w:jc w:val="center"/>
              <w:rPr>
                <w:b/>
                <w:sz w:val="22"/>
                <w:szCs w:val="22"/>
              </w:rPr>
            </w:pPr>
            <w:r w:rsidRPr="00AA1423">
              <w:rPr>
                <w:b/>
                <w:sz w:val="22"/>
                <w:szCs w:val="22"/>
              </w:rPr>
              <w:t>2006</w:t>
            </w:r>
          </w:p>
        </w:tc>
      </w:tr>
      <w:tr w:rsidR="00AA1423" w:rsidRPr="00AA1423">
        <w:trPr>
          <w:trHeight w:val="1066"/>
        </w:trPr>
        <w:tc>
          <w:tcPr>
            <w:tcW w:w="540" w:type="dxa"/>
            <w:vMerge/>
            <w:tcBorders>
              <w:top w:val="single" w:sz="8" w:space="0" w:color="auto"/>
              <w:left w:val="single" w:sz="4" w:space="0" w:color="auto"/>
              <w:bottom w:val="single" w:sz="8" w:space="0" w:color="auto"/>
              <w:right w:val="single" w:sz="8" w:space="0" w:color="auto"/>
            </w:tcBorders>
            <w:vAlign w:val="center"/>
          </w:tcPr>
          <w:p w:rsidR="00AA1423" w:rsidRPr="00AA1423" w:rsidRDefault="00AA1423">
            <w:pPr>
              <w:rPr>
                <w:b/>
                <w:sz w:val="22"/>
                <w:szCs w:val="22"/>
              </w:rPr>
            </w:pPr>
          </w:p>
        </w:tc>
        <w:tc>
          <w:tcPr>
            <w:tcW w:w="3240" w:type="dxa"/>
            <w:vMerge/>
            <w:tcBorders>
              <w:top w:val="single" w:sz="8" w:space="0" w:color="auto"/>
              <w:left w:val="single" w:sz="8" w:space="0" w:color="auto"/>
              <w:bottom w:val="single" w:sz="8" w:space="0" w:color="auto"/>
              <w:right w:val="single" w:sz="8" w:space="0" w:color="auto"/>
            </w:tcBorders>
            <w:vAlign w:val="center"/>
          </w:tcPr>
          <w:p w:rsidR="00AA1423" w:rsidRPr="00AA1423" w:rsidRDefault="00AA1423">
            <w:pPr>
              <w:rPr>
                <w:b/>
                <w:sz w:val="22"/>
                <w:szCs w:val="22"/>
              </w:rPr>
            </w:pPr>
          </w:p>
        </w:tc>
        <w:tc>
          <w:tcPr>
            <w:tcW w:w="108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Сумма в трлн. руб.</w:t>
            </w:r>
          </w:p>
        </w:tc>
        <w:tc>
          <w:tcPr>
            <w:tcW w:w="162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Удельн.</w:t>
            </w:r>
          </w:p>
          <w:p w:rsidR="00AA1423" w:rsidRPr="00AA1423" w:rsidRDefault="00AA1423">
            <w:pPr>
              <w:jc w:val="center"/>
              <w:rPr>
                <w:b/>
                <w:sz w:val="22"/>
                <w:szCs w:val="22"/>
              </w:rPr>
            </w:pPr>
            <w:r w:rsidRPr="00AA1423">
              <w:rPr>
                <w:b/>
                <w:sz w:val="22"/>
                <w:szCs w:val="22"/>
              </w:rPr>
              <w:t>вес, %</w:t>
            </w:r>
          </w:p>
        </w:tc>
        <w:tc>
          <w:tcPr>
            <w:tcW w:w="1087"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Сумма в млрд. руб.</w:t>
            </w:r>
          </w:p>
        </w:tc>
        <w:tc>
          <w:tcPr>
            <w:tcW w:w="144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Удельн.</w:t>
            </w:r>
          </w:p>
          <w:p w:rsidR="00AA1423" w:rsidRPr="00AA1423" w:rsidRDefault="00AA1423">
            <w:pPr>
              <w:jc w:val="center"/>
              <w:rPr>
                <w:b/>
                <w:sz w:val="22"/>
                <w:szCs w:val="22"/>
              </w:rPr>
            </w:pPr>
            <w:r w:rsidRPr="00AA1423">
              <w:rPr>
                <w:b/>
                <w:sz w:val="22"/>
                <w:szCs w:val="22"/>
              </w:rPr>
              <w:t>вес, %</w:t>
            </w:r>
          </w:p>
        </w:tc>
        <w:tc>
          <w:tcPr>
            <w:tcW w:w="1087"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Сумма в млрд. руб.</w:t>
            </w:r>
          </w:p>
        </w:tc>
        <w:tc>
          <w:tcPr>
            <w:tcW w:w="144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Удельн.</w:t>
            </w:r>
          </w:p>
          <w:p w:rsidR="00AA1423" w:rsidRPr="00AA1423" w:rsidRDefault="00AA1423">
            <w:pPr>
              <w:jc w:val="center"/>
              <w:rPr>
                <w:b/>
                <w:sz w:val="22"/>
                <w:szCs w:val="22"/>
              </w:rPr>
            </w:pPr>
            <w:r w:rsidRPr="00AA1423">
              <w:rPr>
                <w:b/>
                <w:sz w:val="22"/>
                <w:szCs w:val="22"/>
              </w:rPr>
              <w:t>вес, %</w:t>
            </w:r>
          </w:p>
        </w:tc>
        <w:tc>
          <w:tcPr>
            <w:tcW w:w="122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b/>
                <w:sz w:val="22"/>
                <w:szCs w:val="22"/>
              </w:rPr>
            </w:pPr>
            <w:r w:rsidRPr="00AA1423">
              <w:rPr>
                <w:b/>
                <w:sz w:val="22"/>
                <w:szCs w:val="22"/>
              </w:rPr>
              <w:t>Сумма в млрд. руб.</w:t>
            </w:r>
          </w:p>
        </w:tc>
        <w:tc>
          <w:tcPr>
            <w:tcW w:w="1667" w:type="dxa"/>
            <w:tcBorders>
              <w:top w:val="nil"/>
              <w:left w:val="nil"/>
              <w:bottom w:val="single" w:sz="8" w:space="0" w:color="auto"/>
              <w:right w:val="single" w:sz="4" w:space="0" w:color="auto"/>
            </w:tcBorders>
            <w:shd w:val="clear" w:color="auto" w:fill="auto"/>
            <w:vAlign w:val="center"/>
          </w:tcPr>
          <w:p w:rsidR="00AA1423" w:rsidRPr="00AA1423" w:rsidRDefault="00AA1423">
            <w:pPr>
              <w:jc w:val="center"/>
              <w:rPr>
                <w:b/>
                <w:sz w:val="22"/>
                <w:szCs w:val="22"/>
              </w:rPr>
            </w:pPr>
            <w:r w:rsidRPr="00AA1423">
              <w:rPr>
                <w:b/>
                <w:sz w:val="22"/>
                <w:szCs w:val="22"/>
              </w:rPr>
              <w:t xml:space="preserve">Удельн. </w:t>
            </w:r>
          </w:p>
          <w:p w:rsidR="00AA1423" w:rsidRPr="00AA1423" w:rsidRDefault="00AA1423">
            <w:pPr>
              <w:jc w:val="center"/>
              <w:rPr>
                <w:b/>
                <w:sz w:val="22"/>
                <w:szCs w:val="22"/>
              </w:rPr>
            </w:pPr>
            <w:r w:rsidRPr="00AA1423">
              <w:rPr>
                <w:b/>
                <w:sz w:val="22"/>
                <w:szCs w:val="22"/>
              </w:rPr>
              <w:t>вес, %</w:t>
            </w:r>
          </w:p>
        </w:tc>
      </w:tr>
      <w:tr w:rsidR="00AA1423" w:rsidRPr="00AA1423">
        <w:trPr>
          <w:trHeight w:val="390"/>
        </w:trPr>
        <w:tc>
          <w:tcPr>
            <w:tcW w:w="540" w:type="dxa"/>
            <w:tcBorders>
              <w:top w:val="nil"/>
              <w:left w:val="single" w:sz="4" w:space="0" w:color="auto"/>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1</w:t>
            </w:r>
          </w:p>
        </w:tc>
        <w:tc>
          <w:tcPr>
            <w:tcW w:w="324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2</w:t>
            </w:r>
          </w:p>
        </w:tc>
        <w:tc>
          <w:tcPr>
            <w:tcW w:w="108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3</w:t>
            </w:r>
          </w:p>
        </w:tc>
        <w:tc>
          <w:tcPr>
            <w:tcW w:w="162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4</w:t>
            </w:r>
          </w:p>
        </w:tc>
        <w:tc>
          <w:tcPr>
            <w:tcW w:w="1087"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5</w:t>
            </w:r>
          </w:p>
        </w:tc>
        <w:tc>
          <w:tcPr>
            <w:tcW w:w="144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6</w:t>
            </w:r>
          </w:p>
        </w:tc>
        <w:tc>
          <w:tcPr>
            <w:tcW w:w="1087"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7</w:t>
            </w:r>
          </w:p>
        </w:tc>
        <w:tc>
          <w:tcPr>
            <w:tcW w:w="144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8</w:t>
            </w:r>
          </w:p>
        </w:tc>
        <w:tc>
          <w:tcPr>
            <w:tcW w:w="1220" w:type="dxa"/>
            <w:tcBorders>
              <w:top w:val="nil"/>
              <w:left w:val="nil"/>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9</w:t>
            </w:r>
          </w:p>
        </w:tc>
        <w:tc>
          <w:tcPr>
            <w:tcW w:w="1667" w:type="dxa"/>
            <w:tcBorders>
              <w:top w:val="nil"/>
              <w:left w:val="nil"/>
              <w:bottom w:val="single" w:sz="8" w:space="0" w:color="auto"/>
              <w:right w:val="single" w:sz="4" w:space="0" w:color="auto"/>
            </w:tcBorders>
            <w:shd w:val="clear" w:color="auto" w:fill="auto"/>
            <w:vAlign w:val="center"/>
          </w:tcPr>
          <w:p w:rsidR="00AA1423" w:rsidRPr="00AA1423" w:rsidRDefault="00AA1423">
            <w:pPr>
              <w:jc w:val="center"/>
              <w:rPr>
                <w:sz w:val="22"/>
                <w:szCs w:val="22"/>
              </w:rPr>
            </w:pPr>
            <w:r w:rsidRPr="00AA1423">
              <w:rPr>
                <w:sz w:val="22"/>
                <w:szCs w:val="22"/>
              </w:rPr>
              <w:t>10</w:t>
            </w:r>
          </w:p>
        </w:tc>
      </w:tr>
      <w:tr w:rsidR="00AA1423" w:rsidRPr="00AA1423">
        <w:trPr>
          <w:trHeight w:val="390"/>
        </w:trPr>
        <w:tc>
          <w:tcPr>
            <w:tcW w:w="540" w:type="dxa"/>
            <w:tcBorders>
              <w:top w:val="nil"/>
              <w:left w:val="single" w:sz="4" w:space="0" w:color="auto"/>
              <w:bottom w:val="single" w:sz="8"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 </w:t>
            </w:r>
          </w:p>
        </w:tc>
        <w:tc>
          <w:tcPr>
            <w:tcW w:w="3240" w:type="dxa"/>
            <w:tcBorders>
              <w:top w:val="nil"/>
              <w:left w:val="nil"/>
              <w:bottom w:val="single" w:sz="8"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Всего:</w:t>
            </w:r>
          </w:p>
        </w:tc>
        <w:tc>
          <w:tcPr>
            <w:tcW w:w="1080"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529,8</w:t>
            </w:r>
          </w:p>
        </w:tc>
        <w:tc>
          <w:tcPr>
            <w:tcW w:w="1620"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100%</w:t>
            </w:r>
          </w:p>
        </w:tc>
        <w:tc>
          <w:tcPr>
            <w:tcW w:w="1087"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499,9</w:t>
            </w:r>
          </w:p>
        </w:tc>
        <w:tc>
          <w:tcPr>
            <w:tcW w:w="1440"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100%</w:t>
            </w:r>
          </w:p>
        </w:tc>
        <w:tc>
          <w:tcPr>
            <w:tcW w:w="1087"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575,1</w:t>
            </w:r>
          </w:p>
        </w:tc>
        <w:tc>
          <w:tcPr>
            <w:tcW w:w="1440"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100%</w:t>
            </w:r>
          </w:p>
        </w:tc>
        <w:tc>
          <w:tcPr>
            <w:tcW w:w="1220" w:type="dxa"/>
            <w:tcBorders>
              <w:top w:val="nil"/>
              <w:left w:val="nil"/>
              <w:bottom w:val="single" w:sz="8"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855,1</w:t>
            </w:r>
          </w:p>
        </w:tc>
        <w:tc>
          <w:tcPr>
            <w:tcW w:w="1667" w:type="dxa"/>
            <w:tcBorders>
              <w:top w:val="nil"/>
              <w:left w:val="nil"/>
              <w:bottom w:val="single" w:sz="8"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100%</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vAlign w:val="center"/>
          </w:tcPr>
          <w:p w:rsidR="00AA1423" w:rsidRPr="00AA1423" w:rsidRDefault="00AA1423">
            <w:pPr>
              <w:jc w:val="center"/>
              <w:rPr>
                <w:sz w:val="22"/>
                <w:szCs w:val="22"/>
              </w:rPr>
            </w:pPr>
            <w:r w:rsidRPr="00AA1423">
              <w:rPr>
                <w:sz w:val="22"/>
                <w:szCs w:val="22"/>
              </w:rPr>
              <w:t>1</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Государственное управление и местное самоуправление</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11,6</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12,1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13,8</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2,4</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25,9</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Судебная власть</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4,5</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0,9</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4,8</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0,8</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0,9</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Международная деятельность</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10,2</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14,5</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2,9</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36,6</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6,4</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56,1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6,6</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Национальная оборона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104,3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19,7</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81,8</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93,7</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16,3</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140,9</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16,5</w:t>
            </w:r>
          </w:p>
        </w:tc>
      </w:tr>
      <w:tr w:rsidR="00AA1423" w:rsidRPr="00AA1423">
        <w:trPr>
          <w:trHeight w:val="94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Правоохранительная деятельность и обеспечение безопасности государства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46,7</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8,8</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41,6</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8,3</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51,3</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8,9</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79,8</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9,3</w:t>
            </w:r>
          </w:p>
        </w:tc>
      </w:tr>
      <w:tr w:rsidR="00AA1423" w:rsidRPr="00AA1423">
        <w:trPr>
          <w:trHeight w:val="94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Фундаментальные исследования и содействие научно-техническому прогрессу</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15,3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2,9</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11,2</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11,6</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15,9</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Промышленность, энергетика и строительство</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49,6</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27,4</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5,5</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14,6</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2,5</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20,1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2,4</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Сельское хозяйство и рыболовство</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16,1</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12</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9,3</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11,5</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1,3</w:t>
            </w:r>
          </w:p>
        </w:tc>
      </w:tr>
      <w:tr w:rsidR="00AA1423" w:rsidRPr="00AA1423">
        <w:trPr>
          <w:trHeight w:val="127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Охрана окружающей природной среды и природных ресурсов, гидрометеорология, картография и геодезия</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2,7</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2,9</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2,9</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3,7</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0,4</w:t>
            </w:r>
          </w:p>
        </w:tc>
      </w:tr>
      <w:tr w:rsidR="00AA1423" w:rsidRPr="00AA1423">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A1423" w:rsidRPr="00AA1423" w:rsidRDefault="00AA1423">
            <w:pPr>
              <w:rPr>
                <w:sz w:val="22"/>
                <w:szCs w:val="22"/>
              </w:rPr>
            </w:pPr>
            <w:r w:rsidRPr="00AA1423">
              <w:rPr>
                <w:sz w:val="22"/>
                <w:szCs w:val="22"/>
              </w:rPr>
              <w:t>Транспорт, дорожное хозяйство, связь и информатика</w:t>
            </w:r>
          </w:p>
        </w:tc>
        <w:tc>
          <w:tcPr>
            <w:tcW w:w="108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3,1</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1,5</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0,3</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0,9</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r>
      <w:tr w:rsidR="00AA1423" w:rsidRPr="00AA1423">
        <w:trPr>
          <w:trHeight w:val="630"/>
        </w:trPr>
        <w:tc>
          <w:tcPr>
            <w:tcW w:w="54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w:t>
            </w:r>
          </w:p>
        </w:tc>
        <w:tc>
          <w:tcPr>
            <w:tcW w:w="3240" w:type="dxa"/>
            <w:tcBorders>
              <w:top w:val="single" w:sz="4" w:space="0" w:color="auto"/>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Развитие рыночной инфраструктуры</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0,1</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0,02</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r>
      <w:tr w:rsidR="00AA1423" w:rsidRPr="00AA1423">
        <w:trPr>
          <w:trHeight w:val="945"/>
        </w:trPr>
        <w:tc>
          <w:tcPr>
            <w:tcW w:w="54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12</w:t>
            </w:r>
          </w:p>
        </w:tc>
        <w:tc>
          <w:tcPr>
            <w:tcW w:w="3240" w:type="dxa"/>
            <w:tcBorders>
              <w:top w:val="single" w:sz="4" w:space="0" w:color="auto"/>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Предупреждение и ликвидация последствий чрезвычайных ситуаций и стихийных бедствий</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8,5</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8,5</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1,7</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7,4</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1,3</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1,1</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13</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Образование</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18,5</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3,5</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17,3</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3,5</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20,9</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3,6</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32,1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3,8</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14</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Культура, искусство и кинематография</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3,6</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0,7</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4,7</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15</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Средства массовой информации</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0,4</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5,7</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0,7</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Здравоохранение и физическая культура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11,4</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9,4</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10,2</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1,8</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17</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Социальная политика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18,1</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35,1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41,9</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7,3</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63</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7,4</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18</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Обслуживание государственного долга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78,3</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14,8</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124,1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24,8</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166,8</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29</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220,1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25,7</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Пополнение государственных запасов и резервов</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10,8</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6,7</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1,3</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0,1</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0,02</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0,02</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20</w:t>
            </w:r>
          </w:p>
        </w:tc>
        <w:tc>
          <w:tcPr>
            <w:tcW w:w="3240" w:type="dxa"/>
            <w:tcBorders>
              <w:top w:val="nil"/>
              <w:left w:val="nil"/>
              <w:bottom w:val="single" w:sz="4" w:space="0" w:color="auto"/>
              <w:right w:val="single" w:sz="8" w:space="0" w:color="auto"/>
            </w:tcBorders>
            <w:shd w:val="clear" w:color="auto" w:fill="auto"/>
            <w:vAlign w:val="center"/>
          </w:tcPr>
          <w:p w:rsidR="00AA1423" w:rsidRPr="000B0DF0" w:rsidRDefault="00AA1423">
            <w:pPr>
              <w:rPr>
                <w:b/>
                <w:sz w:val="22"/>
                <w:szCs w:val="22"/>
              </w:rPr>
            </w:pPr>
            <w:r w:rsidRPr="000B0DF0">
              <w:rPr>
                <w:b/>
                <w:sz w:val="22"/>
                <w:szCs w:val="22"/>
              </w:rPr>
              <w:t>Финансовая помощь бюджетам других уровней</w:t>
            </w:r>
          </w:p>
        </w:tc>
        <w:tc>
          <w:tcPr>
            <w:tcW w:w="1080" w:type="dxa"/>
            <w:tcBorders>
              <w:top w:val="nil"/>
              <w:left w:val="nil"/>
              <w:bottom w:val="single" w:sz="4" w:space="0" w:color="auto"/>
              <w:right w:val="single" w:sz="8" w:space="0" w:color="auto"/>
            </w:tcBorders>
            <w:shd w:val="clear" w:color="auto" w:fill="auto"/>
            <w:noWrap/>
            <w:vAlign w:val="center"/>
          </w:tcPr>
          <w:p w:rsidR="00AA1423" w:rsidRPr="000B0DF0" w:rsidRDefault="000B0DF0">
            <w:pPr>
              <w:jc w:val="center"/>
              <w:rPr>
                <w:b/>
                <w:sz w:val="22"/>
                <w:szCs w:val="22"/>
              </w:rPr>
            </w:pPr>
            <w:r>
              <w:rPr>
                <w:b/>
                <w:sz w:val="22"/>
                <w:szCs w:val="22"/>
              </w:rPr>
              <w:t>42,6</w:t>
            </w:r>
          </w:p>
        </w:tc>
        <w:tc>
          <w:tcPr>
            <w:tcW w:w="1620" w:type="dxa"/>
            <w:tcBorders>
              <w:top w:val="nil"/>
              <w:left w:val="nil"/>
              <w:bottom w:val="single" w:sz="4" w:space="0" w:color="auto"/>
              <w:right w:val="single" w:sz="8" w:space="0" w:color="auto"/>
            </w:tcBorders>
            <w:shd w:val="clear" w:color="auto" w:fill="auto"/>
            <w:noWrap/>
            <w:vAlign w:val="center"/>
          </w:tcPr>
          <w:p w:rsidR="00AA1423" w:rsidRPr="000B0DF0" w:rsidRDefault="000B0DF0">
            <w:pPr>
              <w:jc w:val="center"/>
              <w:rPr>
                <w:b/>
                <w:sz w:val="22"/>
                <w:szCs w:val="22"/>
              </w:rPr>
            </w:pPr>
            <w:r>
              <w:rPr>
                <w:b/>
                <w:sz w:val="22"/>
                <w:szCs w:val="22"/>
              </w:rPr>
              <w:t>5,8</w:t>
            </w:r>
          </w:p>
        </w:tc>
        <w:tc>
          <w:tcPr>
            <w:tcW w:w="1087" w:type="dxa"/>
            <w:tcBorders>
              <w:top w:val="nil"/>
              <w:left w:val="nil"/>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51,7</w:t>
            </w:r>
          </w:p>
        </w:tc>
        <w:tc>
          <w:tcPr>
            <w:tcW w:w="1440" w:type="dxa"/>
            <w:tcBorders>
              <w:top w:val="nil"/>
              <w:left w:val="nil"/>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10,3</w:t>
            </w:r>
          </w:p>
        </w:tc>
        <w:tc>
          <w:tcPr>
            <w:tcW w:w="1087" w:type="dxa"/>
            <w:tcBorders>
              <w:top w:val="nil"/>
              <w:left w:val="nil"/>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43,4</w:t>
            </w:r>
          </w:p>
        </w:tc>
        <w:tc>
          <w:tcPr>
            <w:tcW w:w="1440" w:type="dxa"/>
            <w:tcBorders>
              <w:top w:val="nil"/>
              <w:left w:val="nil"/>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7,5</w:t>
            </w:r>
          </w:p>
        </w:tc>
        <w:tc>
          <w:tcPr>
            <w:tcW w:w="1220" w:type="dxa"/>
            <w:tcBorders>
              <w:top w:val="nil"/>
              <w:left w:val="nil"/>
              <w:bottom w:val="single" w:sz="4" w:space="0" w:color="auto"/>
              <w:right w:val="single" w:sz="8" w:space="0" w:color="auto"/>
            </w:tcBorders>
            <w:shd w:val="clear" w:color="auto" w:fill="auto"/>
            <w:noWrap/>
            <w:vAlign w:val="center"/>
          </w:tcPr>
          <w:p w:rsidR="00AA1423" w:rsidRPr="000B0DF0" w:rsidRDefault="00AA1423">
            <w:pPr>
              <w:jc w:val="center"/>
              <w:rPr>
                <w:b/>
                <w:sz w:val="22"/>
                <w:szCs w:val="22"/>
              </w:rPr>
            </w:pPr>
            <w:r w:rsidRPr="000B0DF0">
              <w:rPr>
                <w:b/>
                <w:sz w:val="22"/>
                <w:szCs w:val="22"/>
              </w:rPr>
              <w:t>69,2</w:t>
            </w:r>
          </w:p>
        </w:tc>
        <w:tc>
          <w:tcPr>
            <w:tcW w:w="1667" w:type="dxa"/>
            <w:tcBorders>
              <w:top w:val="nil"/>
              <w:left w:val="nil"/>
              <w:bottom w:val="single" w:sz="4" w:space="0" w:color="auto"/>
              <w:right w:val="single" w:sz="4" w:space="0" w:color="auto"/>
            </w:tcBorders>
            <w:shd w:val="clear" w:color="auto" w:fill="auto"/>
            <w:noWrap/>
            <w:vAlign w:val="center"/>
          </w:tcPr>
          <w:p w:rsidR="00AA1423" w:rsidRPr="000B0DF0" w:rsidRDefault="00AA1423">
            <w:pPr>
              <w:jc w:val="center"/>
              <w:rPr>
                <w:b/>
                <w:sz w:val="22"/>
                <w:szCs w:val="22"/>
              </w:rPr>
            </w:pPr>
            <w:r w:rsidRPr="000B0DF0">
              <w:rPr>
                <w:b/>
                <w:sz w:val="22"/>
                <w:szCs w:val="22"/>
              </w:rPr>
              <w:t>8,1</w:t>
            </w:r>
          </w:p>
        </w:tc>
      </w:tr>
      <w:tr w:rsidR="00AA1423" w:rsidRPr="00AA1423">
        <w:trPr>
          <w:trHeight w:val="94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21</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Утилизация и ликвидация вооружений, включая выполнение международных договоров</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1,9</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0,4</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1,7</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0,3</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2,1</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22</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Мобилизационная подготовка экономики</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0,9</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0,8</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0,2</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0,1</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0,1</w:t>
            </w:r>
          </w:p>
        </w:tc>
      </w:tr>
      <w:tr w:rsidR="00AA1423" w:rsidRPr="00AA1423">
        <w:trPr>
          <w:trHeight w:val="630"/>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23</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Исследование и использование космического пространства</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3,7</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0,7</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0,5</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3,4</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0,4</w:t>
            </w:r>
          </w:p>
        </w:tc>
      </w:tr>
      <w:tr w:rsidR="00AA1423" w:rsidRPr="00AA1423">
        <w:trPr>
          <w:trHeight w:val="315"/>
        </w:trPr>
        <w:tc>
          <w:tcPr>
            <w:tcW w:w="540" w:type="dxa"/>
            <w:tcBorders>
              <w:top w:val="nil"/>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24</w:t>
            </w:r>
          </w:p>
        </w:tc>
        <w:tc>
          <w:tcPr>
            <w:tcW w:w="3240" w:type="dxa"/>
            <w:tcBorders>
              <w:top w:val="nil"/>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Прочие расходы</w:t>
            </w:r>
          </w:p>
        </w:tc>
        <w:tc>
          <w:tcPr>
            <w:tcW w:w="108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72,1</w:t>
            </w:r>
          </w:p>
        </w:tc>
        <w:tc>
          <w:tcPr>
            <w:tcW w:w="16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13,6</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-6,4</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087"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-9,5</w:t>
            </w:r>
          </w:p>
        </w:tc>
        <w:tc>
          <w:tcPr>
            <w:tcW w:w="144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х</w:t>
            </w:r>
          </w:p>
        </w:tc>
        <w:tc>
          <w:tcPr>
            <w:tcW w:w="1220" w:type="dxa"/>
            <w:tcBorders>
              <w:top w:val="nil"/>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4,9</w:t>
            </w:r>
          </w:p>
        </w:tc>
        <w:tc>
          <w:tcPr>
            <w:tcW w:w="1667" w:type="dxa"/>
            <w:tcBorders>
              <w:top w:val="nil"/>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0,6</w:t>
            </w:r>
          </w:p>
        </w:tc>
      </w:tr>
      <w:tr w:rsidR="00AA1423" w:rsidRPr="00AA1423">
        <w:trPr>
          <w:trHeight w:val="330"/>
        </w:trPr>
        <w:tc>
          <w:tcPr>
            <w:tcW w:w="540" w:type="dxa"/>
            <w:tcBorders>
              <w:top w:val="single" w:sz="4" w:space="0" w:color="auto"/>
              <w:left w:val="single" w:sz="4" w:space="0" w:color="auto"/>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25</w:t>
            </w:r>
          </w:p>
        </w:tc>
        <w:tc>
          <w:tcPr>
            <w:tcW w:w="3240" w:type="dxa"/>
            <w:tcBorders>
              <w:top w:val="single" w:sz="4" w:space="0" w:color="auto"/>
              <w:left w:val="nil"/>
              <w:bottom w:val="single" w:sz="4" w:space="0" w:color="auto"/>
              <w:right w:val="single" w:sz="8" w:space="0" w:color="auto"/>
            </w:tcBorders>
            <w:shd w:val="clear" w:color="auto" w:fill="auto"/>
            <w:vAlign w:val="center"/>
          </w:tcPr>
          <w:p w:rsidR="00AA1423" w:rsidRPr="00AA1423" w:rsidRDefault="00AA1423">
            <w:pPr>
              <w:rPr>
                <w:sz w:val="22"/>
                <w:szCs w:val="22"/>
              </w:rPr>
            </w:pPr>
            <w:r w:rsidRPr="00AA1423">
              <w:rPr>
                <w:sz w:val="22"/>
                <w:szCs w:val="22"/>
              </w:rPr>
              <w:t>Целевые бюджетные фонды</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41,2</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7,8</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32,1</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6,4</w:t>
            </w:r>
          </w:p>
        </w:tc>
        <w:tc>
          <w:tcPr>
            <w:tcW w:w="1087"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44</w:t>
            </w:r>
          </w:p>
        </w:tc>
        <w:tc>
          <w:tcPr>
            <w:tcW w:w="144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7,7</w:t>
            </w:r>
          </w:p>
        </w:tc>
        <w:tc>
          <w:tcPr>
            <w:tcW w:w="1220" w:type="dxa"/>
            <w:tcBorders>
              <w:top w:val="single" w:sz="4" w:space="0" w:color="auto"/>
              <w:left w:val="nil"/>
              <w:bottom w:val="single" w:sz="4" w:space="0" w:color="auto"/>
              <w:right w:val="single" w:sz="8" w:space="0" w:color="auto"/>
            </w:tcBorders>
            <w:shd w:val="clear" w:color="auto" w:fill="auto"/>
            <w:noWrap/>
            <w:vAlign w:val="center"/>
          </w:tcPr>
          <w:p w:rsidR="00AA1423" w:rsidRPr="00AA1423" w:rsidRDefault="00AA1423">
            <w:pPr>
              <w:jc w:val="center"/>
              <w:rPr>
                <w:sz w:val="22"/>
                <w:szCs w:val="22"/>
              </w:rPr>
            </w:pPr>
            <w:r w:rsidRPr="00AA1423">
              <w:rPr>
                <w:sz w:val="22"/>
                <w:szCs w:val="22"/>
              </w:rPr>
              <w:t>60,6</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AA1423" w:rsidRPr="00AA1423" w:rsidRDefault="00AA1423">
            <w:pPr>
              <w:jc w:val="center"/>
              <w:rPr>
                <w:sz w:val="22"/>
                <w:szCs w:val="22"/>
              </w:rPr>
            </w:pPr>
            <w:r w:rsidRPr="00AA1423">
              <w:rPr>
                <w:sz w:val="22"/>
                <w:szCs w:val="22"/>
              </w:rPr>
              <w:t>7,1</w:t>
            </w:r>
          </w:p>
        </w:tc>
      </w:tr>
    </w:tbl>
    <w:p w:rsidR="00AA1423" w:rsidRDefault="00AA1423" w:rsidP="00D7077B">
      <w:pPr>
        <w:spacing w:line="360" w:lineRule="auto"/>
        <w:jc w:val="both"/>
        <w:rPr>
          <w:sz w:val="28"/>
          <w:szCs w:val="28"/>
        </w:rPr>
        <w:sectPr w:rsidR="00AA1423" w:rsidSect="00AA1423">
          <w:pgSz w:w="16838" w:h="11906" w:orient="landscape"/>
          <w:pgMar w:top="851" w:right="1134" w:bottom="1701" w:left="1134" w:header="709" w:footer="709" w:gutter="0"/>
          <w:cols w:space="708"/>
          <w:docGrid w:linePitch="360"/>
        </w:sectPr>
      </w:pPr>
    </w:p>
    <w:p w:rsidR="00AA1423" w:rsidRDefault="000B0DF0" w:rsidP="000B0DF0">
      <w:pPr>
        <w:spacing w:line="360" w:lineRule="auto"/>
        <w:jc w:val="center"/>
        <w:rPr>
          <w:b/>
          <w:sz w:val="28"/>
          <w:szCs w:val="28"/>
        </w:rPr>
      </w:pPr>
      <w:r>
        <w:rPr>
          <w:b/>
          <w:sz w:val="28"/>
          <w:szCs w:val="28"/>
        </w:rPr>
        <w:t>Источники</w:t>
      </w:r>
    </w:p>
    <w:p w:rsidR="000B0DF0" w:rsidRDefault="000B0DF0" w:rsidP="000B0DF0">
      <w:pPr>
        <w:spacing w:line="360" w:lineRule="auto"/>
        <w:jc w:val="center"/>
        <w:rPr>
          <w:b/>
          <w:sz w:val="28"/>
          <w:szCs w:val="28"/>
        </w:rPr>
      </w:pP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Бюджетный кодекс РФ №63 от 23.01.2000</w:t>
      </w:r>
      <w:r>
        <w:rPr>
          <w:sz w:val="28"/>
          <w:szCs w:val="28"/>
        </w:rPr>
        <w:t>.</w:t>
      </w: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Налоговый кодекс часть I (ФЗ от 31.07.1998 № 146-ФЗ)</w:t>
      </w:r>
      <w:r>
        <w:rPr>
          <w:sz w:val="28"/>
          <w:szCs w:val="28"/>
        </w:rPr>
        <w:t>.</w:t>
      </w: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Налоговый кодекс часть II (ФЗ от 05.08.2000 № 117-ФЗ)</w:t>
      </w:r>
      <w:r>
        <w:rPr>
          <w:sz w:val="28"/>
          <w:szCs w:val="28"/>
        </w:rPr>
        <w:t>.</w:t>
      </w: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 xml:space="preserve">ФЗ от 27.12.2002 № 150-ФЗ </w:t>
      </w:r>
      <w:r>
        <w:rPr>
          <w:sz w:val="28"/>
          <w:szCs w:val="28"/>
        </w:rPr>
        <w:t>«</w:t>
      </w:r>
      <w:r w:rsidRPr="000B0DF0">
        <w:rPr>
          <w:sz w:val="28"/>
          <w:szCs w:val="28"/>
        </w:rPr>
        <w:t>О федеральном бюджете на 2003 год</w:t>
      </w:r>
      <w:r>
        <w:rPr>
          <w:sz w:val="28"/>
          <w:szCs w:val="28"/>
        </w:rPr>
        <w:t>».</w:t>
      </w: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 xml:space="preserve">Государственный бюджет: </w:t>
      </w:r>
      <w:r>
        <w:rPr>
          <w:sz w:val="28"/>
          <w:szCs w:val="28"/>
        </w:rPr>
        <w:t>у</w:t>
      </w:r>
      <w:r w:rsidRPr="000B0DF0">
        <w:rPr>
          <w:sz w:val="28"/>
          <w:szCs w:val="28"/>
        </w:rPr>
        <w:t>чеб</w:t>
      </w:r>
      <w:r>
        <w:rPr>
          <w:sz w:val="28"/>
          <w:szCs w:val="28"/>
        </w:rPr>
        <w:t>. пособие /</w:t>
      </w:r>
      <w:r w:rsidRPr="000B0DF0">
        <w:rPr>
          <w:sz w:val="28"/>
          <w:szCs w:val="28"/>
        </w:rPr>
        <w:t xml:space="preserve"> Под ред. М. И. Ткачук</w:t>
      </w:r>
      <w:r>
        <w:rPr>
          <w:sz w:val="28"/>
          <w:szCs w:val="28"/>
        </w:rPr>
        <w:t>.</w:t>
      </w:r>
      <w:r w:rsidRPr="000B0DF0">
        <w:rPr>
          <w:sz w:val="28"/>
          <w:szCs w:val="28"/>
        </w:rPr>
        <w:t xml:space="preserve"> </w:t>
      </w:r>
      <w:r>
        <w:rPr>
          <w:sz w:val="28"/>
          <w:szCs w:val="28"/>
        </w:rPr>
        <w:t>–</w:t>
      </w:r>
      <w:r w:rsidRPr="000B0DF0">
        <w:rPr>
          <w:sz w:val="28"/>
          <w:szCs w:val="28"/>
        </w:rPr>
        <w:t xml:space="preserve"> М</w:t>
      </w:r>
      <w:r>
        <w:rPr>
          <w:sz w:val="28"/>
          <w:szCs w:val="28"/>
        </w:rPr>
        <w:t>инск:</w:t>
      </w:r>
      <w:r w:rsidRPr="000B0DF0">
        <w:rPr>
          <w:sz w:val="28"/>
          <w:szCs w:val="28"/>
        </w:rPr>
        <w:t xml:space="preserve"> Высшая школа, 2002</w:t>
      </w:r>
    </w:p>
    <w:p w:rsidR="000B0DF0" w:rsidRPr="000B0DF0" w:rsidRDefault="000B0DF0" w:rsidP="000B0DF0">
      <w:pPr>
        <w:widowControl w:val="0"/>
        <w:numPr>
          <w:ilvl w:val="0"/>
          <w:numId w:val="1"/>
        </w:numPr>
        <w:spacing w:line="384" w:lineRule="auto"/>
        <w:jc w:val="both"/>
        <w:rPr>
          <w:sz w:val="28"/>
          <w:szCs w:val="28"/>
        </w:rPr>
      </w:pPr>
      <w:r w:rsidRPr="000B0DF0">
        <w:rPr>
          <w:sz w:val="28"/>
          <w:szCs w:val="28"/>
        </w:rPr>
        <w:t>Романовский М.В., Врублевская О.В. Бюджетная система Российской Фе</w:t>
      </w:r>
      <w:r w:rsidR="0095359B">
        <w:rPr>
          <w:sz w:val="28"/>
          <w:szCs w:val="28"/>
        </w:rPr>
        <w:t>дерации:</w:t>
      </w:r>
      <w:r w:rsidRPr="000B0DF0">
        <w:rPr>
          <w:sz w:val="28"/>
          <w:szCs w:val="28"/>
        </w:rPr>
        <w:t xml:space="preserve"> </w:t>
      </w:r>
      <w:r w:rsidR="0095359B">
        <w:rPr>
          <w:sz w:val="28"/>
          <w:szCs w:val="28"/>
        </w:rPr>
        <w:t>у</w:t>
      </w:r>
      <w:r w:rsidRPr="000B0DF0">
        <w:rPr>
          <w:sz w:val="28"/>
          <w:szCs w:val="28"/>
        </w:rPr>
        <w:t>чебник. – М.: ЮРАЙТ, 2002.</w:t>
      </w:r>
    </w:p>
    <w:p w:rsidR="000B0DF0" w:rsidRPr="000B0DF0" w:rsidRDefault="000B0DF0" w:rsidP="000B0DF0">
      <w:pPr>
        <w:spacing w:line="360" w:lineRule="auto"/>
        <w:jc w:val="both"/>
        <w:rPr>
          <w:sz w:val="28"/>
          <w:szCs w:val="28"/>
        </w:rPr>
      </w:pPr>
      <w:bookmarkStart w:id="0" w:name="_GoBack"/>
      <w:bookmarkEnd w:id="0"/>
    </w:p>
    <w:sectPr w:rsidR="000B0DF0" w:rsidRPr="000B0D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56" w:rsidRDefault="006D7B56">
      <w:r>
        <w:separator/>
      </w:r>
    </w:p>
  </w:endnote>
  <w:endnote w:type="continuationSeparator" w:id="0">
    <w:p w:rsidR="006D7B56" w:rsidRDefault="006D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45" w:rsidRDefault="00200245" w:rsidP="006D7B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0245" w:rsidRDefault="00200245" w:rsidP="002002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245" w:rsidRDefault="00200245" w:rsidP="006D7B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25B68">
      <w:rPr>
        <w:rStyle w:val="a4"/>
        <w:noProof/>
      </w:rPr>
      <w:t>2</w:t>
    </w:r>
    <w:r>
      <w:rPr>
        <w:rStyle w:val="a4"/>
      </w:rPr>
      <w:fldChar w:fldCharType="end"/>
    </w:r>
  </w:p>
  <w:p w:rsidR="00200245" w:rsidRDefault="00200245" w:rsidP="002002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56" w:rsidRDefault="006D7B56">
      <w:r>
        <w:separator/>
      </w:r>
    </w:p>
  </w:footnote>
  <w:footnote w:type="continuationSeparator" w:id="0">
    <w:p w:rsidR="006D7B56" w:rsidRDefault="006D7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5749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77B"/>
    <w:rsid w:val="00025B68"/>
    <w:rsid w:val="000B0DF0"/>
    <w:rsid w:val="000F7DE6"/>
    <w:rsid w:val="00200245"/>
    <w:rsid w:val="002E3C7A"/>
    <w:rsid w:val="00344C2D"/>
    <w:rsid w:val="004159FC"/>
    <w:rsid w:val="004E33AF"/>
    <w:rsid w:val="005979E7"/>
    <w:rsid w:val="006C3AE8"/>
    <w:rsid w:val="006D7B56"/>
    <w:rsid w:val="00796AA5"/>
    <w:rsid w:val="0095359B"/>
    <w:rsid w:val="00AA1423"/>
    <w:rsid w:val="00AD02D3"/>
    <w:rsid w:val="00C63D0D"/>
    <w:rsid w:val="00D46FE5"/>
    <w:rsid w:val="00D70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A12B1-A6D6-4DB4-8996-E538A80D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00245"/>
    <w:pPr>
      <w:tabs>
        <w:tab w:val="center" w:pos="4677"/>
        <w:tab w:val="right" w:pos="9355"/>
      </w:tabs>
    </w:pPr>
  </w:style>
  <w:style w:type="character" w:styleId="a4">
    <w:name w:val="page number"/>
    <w:basedOn w:val="a0"/>
    <w:rsid w:val="0020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4158</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Формы и методы бюджетного финансирования, направления их даль-нейшего использования</vt:lpstr>
    </vt:vector>
  </TitlesOfParts>
  <Company>ec0n0mic</Company>
  <LinksUpToDate>false</LinksUpToDate>
  <CharactersWithSpaces>27804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и методы бюджетного финансирования, направления их даль-нейшего использования</dc:title>
  <dc:subject/>
  <dc:creator>Иванова</dc:creator>
  <cp:keywords/>
  <dc:description/>
  <cp:lastModifiedBy>admin</cp:lastModifiedBy>
  <cp:revision>2</cp:revision>
  <dcterms:created xsi:type="dcterms:W3CDTF">2014-04-28T03:18:00Z</dcterms:created>
  <dcterms:modified xsi:type="dcterms:W3CDTF">2014-04-28T03:18:00Z</dcterms:modified>
</cp:coreProperties>
</file>