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17314" w:rsidRPr="004D14A5" w:rsidRDefault="00017314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56550B" w:rsidP="004D14A5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noProof/>
        </w:rPr>
        <w:pict>
          <v:line id="_x0000_s1026" style="position:absolute;left:0;text-align:left;z-index:251657216;mso-position-horizontal-relative:margin" from=".95pt,668.9pt" to="469.45pt,668.9pt" o:allowincell="f" strokeweight=".7pt">
            <w10:wrap anchorx="margin"/>
          </v:line>
        </w:pict>
      </w:r>
      <w:r w:rsidR="00034B78" w:rsidRPr="004D14A5">
        <w:rPr>
          <w:b/>
          <w:bCs/>
          <w:sz w:val="28"/>
          <w:szCs w:val="28"/>
          <w:lang w:val="uk-UA"/>
        </w:rPr>
        <w:t>ФОРМУВАННЯ УМОВ ЗДІЙСНЕННЯ ІННОВАЦІЙНИХ РЕФОРМ В УКРАЇНІ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4D14A5">
        <w:rPr>
          <w:b/>
          <w:bCs/>
          <w:sz w:val="28"/>
          <w:szCs w:val="28"/>
          <w:lang w:val="uk-UA"/>
        </w:rPr>
        <w:br w:type="page"/>
        <w:t>ЗМІСТ</w:t>
      </w:r>
    </w:p>
    <w:p w:rsidR="009473B1" w:rsidRPr="004D14A5" w:rsidRDefault="009473B1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:rsidR="00034B78" w:rsidRPr="004D14A5" w:rsidRDefault="009473B1" w:rsidP="004D14A5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Вступ</w:t>
      </w:r>
    </w:p>
    <w:p w:rsidR="00034B78" w:rsidRPr="004D14A5" w:rsidRDefault="00034B78" w:rsidP="004D14A5">
      <w:pPr>
        <w:spacing w:line="360" w:lineRule="auto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Т</w:t>
      </w:r>
      <w:r w:rsidR="009473B1" w:rsidRPr="004D14A5">
        <w:rPr>
          <w:sz w:val="28"/>
          <w:szCs w:val="28"/>
          <w:lang w:val="uk-UA"/>
        </w:rPr>
        <w:t>рансформаці</w:t>
      </w:r>
      <w:r w:rsidR="00ED3783" w:rsidRPr="004D14A5">
        <w:rPr>
          <w:sz w:val="28"/>
          <w:szCs w:val="28"/>
          <w:lang w:val="uk-UA"/>
        </w:rPr>
        <w:t>я</w:t>
      </w:r>
      <w:r w:rsidR="009473B1" w:rsidRPr="004D14A5">
        <w:rPr>
          <w:sz w:val="28"/>
          <w:szCs w:val="28"/>
          <w:lang w:val="uk-UA"/>
        </w:rPr>
        <w:t xml:space="preserve"> економіки України</w:t>
      </w:r>
    </w:p>
    <w:p w:rsidR="00034B78" w:rsidRPr="004D14A5" w:rsidRDefault="00034B78" w:rsidP="004D14A5">
      <w:pPr>
        <w:spacing w:line="360" w:lineRule="auto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Динаміка технологічного прогресу</w:t>
      </w:r>
    </w:p>
    <w:p w:rsidR="00034B78" w:rsidRPr="004D14A5" w:rsidRDefault="00034B78" w:rsidP="004D14A5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Література</w:t>
      </w:r>
    </w:p>
    <w:p w:rsidR="009473B1" w:rsidRPr="004D14A5" w:rsidRDefault="009473B1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caps/>
          <w:sz w:val="28"/>
          <w:szCs w:val="28"/>
          <w:lang w:val="uk-UA"/>
        </w:rPr>
      </w:pPr>
      <w:r w:rsidRPr="004D14A5">
        <w:rPr>
          <w:b/>
          <w:bCs/>
          <w:sz w:val="28"/>
          <w:szCs w:val="28"/>
          <w:lang w:val="uk-UA"/>
        </w:rPr>
        <w:br w:type="page"/>
      </w:r>
      <w:r w:rsidR="008423E6" w:rsidRPr="004D14A5">
        <w:rPr>
          <w:b/>
          <w:bCs/>
          <w:caps/>
          <w:sz w:val="28"/>
          <w:szCs w:val="28"/>
          <w:lang w:val="uk-UA"/>
        </w:rPr>
        <w:t>Вступ</w:t>
      </w:r>
    </w:p>
    <w:p w:rsidR="008423E6" w:rsidRPr="004D14A5" w:rsidRDefault="008423E6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Останніми роками в Україні все частіше постає питання переходу економіки України на шлях інноваційних перетворень, за рахунок яких прогнозується можливість значного підвищення конкурентоспроможності національної економіки та її довгострокового зростання.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Актуальність дослідження питань проведення інноваційних реформ зростає в зв'язку з тим, що українська економіка прагне до гідного й органічного входження у світове співтовариство.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Подолання відставання практично у всіх галузях і виробництвах припускає посилення інноваційного характеру підприємницької діяльності, формування особливої інноваційної сфери, та законодавчого її регулювання.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Разом з тим, розуміючи усю суспільно-економічну значимість даного питання, на сьогодні реальних фундаментальних кроків по впровадженню інноваційних реформ в державі не проводиться.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В Україні питанням змісту, чинників формування та особливостей розвитку національної інноваційної системи (НІС) останнім часом присвячується велика кількість досліджень.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Зокрема С. Покропивним наводиться аналіз сучасного інноваційного потенціалу та системи управління інноваціями на різних рівнях [3]. М. Петрина наводить визначення НІС та розглядає її структуру, особливості функціонування [4]. Л. Федуловою та М. Пашутою визначено роль НІС у інноваційному розвитку, проаналізовано окремі її компоненти, визначено стан державного регулювання інноваційних процесів, запропоновано заходи державної інноваційної політики як складової НІС [5].</w:t>
      </w:r>
      <w:r w:rsidR="00ED3783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Разом з тим, у вітчизняних та зарубіжних джерелах недостатньо розглянуто інноваційну діяльність в розвинених країнах в ракурсі її екстраполяції на національну інноваційну систему, враховуючи особливості вітчизняної економіки.</w:t>
      </w:r>
    </w:p>
    <w:p w:rsidR="00ED3783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Метою дослідження є теоретичне обґрунтування необхідності інноваційних перетворень в Україні, враховуючи особливості розвитку національної інноваційної системи та світовий досвід інновацій.</w:t>
      </w:r>
    </w:p>
    <w:p w:rsidR="00ED3783" w:rsidRPr="004D14A5" w:rsidRDefault="00ED3783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caps/>
          <w:sz w:val="28"/>
          <w:szCs w:val="28"/>
          <w:lang w:val="uk-UA"/>
        </w:rPr>
      </w:pPr>
      <w:r w:rsidRPr="004D14A5">
        <w:rPr>
          <w:b/>
          <w:bCs/>
          <w:caps/>
          <w:sz w:val="28"/>
          <w:szCs w:val="28"/>
          <w:lang w:val="uk-UA"/>
        </w:rPr>
        <w:br w:type="page"/>
        <w:t>Трансформація економіки України</w:t>
      </w:r>
    </w:p>
    <w:p w:rsidR="00ED3783" w:rsidRPr="004D14A5" w:rsidRDefault="00ED3783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B1FC2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В умовах трансформації економіки України науково-технічний прогрес, стрижнем якого є інноваційна діяльність, перетворюється на вирішальний фактор соціально-економічного розвитку і відіграє провідну роль у вирішенні економічних, екологічних, соціальних та культурних завдань.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Проте, незважаючи на загальновизнану думку про роль інноваційної діяльності в забезпеченні зростання випуску продукції та продуктивності праці, майже в усіх регіонах і галузях нашої країни, відстежується тенденція зниження інноваційного потенціалу. Найгіршим є те, що негативних змін зазнали базові підприємства промисловості.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Про незадовільний стан інноваційної діяльності свідчать такі її критерії [1]:</w:t>
      </w:r>
    </w:p>
    <w:p w:rsidR="00034B78" w:rsidRPr="004D14A5" w:rsidRDefault="00034B78" w:rsidP="004D14A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зменшення витрат на науку та науково-технічні вироби, що погіршує матеріально-технічне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забезпечення науки, призводить до старіння наукового устаткування та обладнання;</w:t>
      </w:r>
    </w:p>
    <w:p w:rsidR="00034B78" w:rsidRPr="004D14A5" w:rsidRDefault="00034B78" w:rsidP="004D14A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рівень експортабельності та конкурентоспроможності товарів та послуг залишається низьким.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Тенденцію скорочення має рівень експорту оновленої продукції (від 4% всього обсягу експорту), причому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незначною є питома вага поставленої на експорт ліцензійної продукції, велика частка якої надходить в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країни СНД і не знаходить достатнього попиту в країнах далекого зарубіжжя;</w:t>
      </w:r>
    </w:p>
    <w:p w:rsidR="00034B78" w:rsidRPr="004D14A5" w:rsidRDefault="00034B78" w:rsidP="004D14A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система сертифікації в Україні діє як засіб захисту споживача від неякісної продукції, але не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забезпечує конкурентоспроможність товарів на світовому ринку, що свідчить про недостатній рівень якості;</w:t>
      </w:r>
    </w:p>
    <w:p w:rsidR="00034B78" w:rsidRPr="004D14A5" w:rsidRDefault="00034B78" w:rsidP="004D14A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знизився соціальний статус та престиж працівників інженерних професій, що позначилося на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кількості молодих фахівців, які випускаються вищими технічними навчальними закладами, та якості їхньої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підготовки,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оскільки конкурсу на технічні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спеціальності майже немає.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До того ж велика кількість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конкурентоспроможних робітників, які могли б ефективно працювати в інноваційній сфері України,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виїжджають за кордон у пошуках кращої долі.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У період 2005</w:t>
      </w:r>
      <w:r w:rsidR="009B1FC2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2007 рр. знизилася кількість працівників основної діяльності в наукових організаціях з 170,6 тис. до 155,5 тис. чол. Середній вік кандидатів наук сягнув позначки 52 роки, докторів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62 роки [7].</w:t>
      </w:r>
    </w:p>
    <w:p w:rsidR="009B1FC2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Отже, інноваційна діяльність підприємств України в період реформування економіки зазнала негативних змін, які обумовлені впливом зовнішніх та внутрішніх факторів.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До числа зовнішніх факторів слід віднести:</w:t>
      </w:r>
    </w:p>
    <w:p w:rsidR="00034B78" w:rsidRPr="004D14A5" w:rsidRDefault="00034B78" w:rsidP="004D14A5">
      <w:pPr>
        <w:numPr>
          <w:ilvl w:val="0"/>
          <w:numId w:val="5"/>
        </w:numPr>
        <w:shd w:val="clear" w:color="auto" w:fill="FFFFFF"/>
        <w:tabs>
          <w:tab w:val="clear" w:pos="2149"/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економічні (системна криза в державі, інфляція, великі норми оподаткування, розрив економічних зв'язків, відсутність державного фінансування);</w:t>
      </w:r>
    </w:p>
    <w:p w:rsidR="00034B78" w:rsidRPr="004D14A5" w:rsidRDefault="0056550B" w:rsidP="004D14A5">
      <w:pPr>
        <w:numPr>
          <w:ilvl w:val="0"/>
          <w:numId w:val="5"/>
        </w:numPr>
        <w:shd w:val="clear" w:color="auto" w:fill="FFFFFF"/>
        <w:tabs>
          <w:tab w:val="clear" w:pos="2149"/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27" style="position:absolute;left:0;text-align:left;z-index:251658240;mso-position-horizontal-relative:margin" from=".7pt,717.1pt" to="469.65pt,717.1pt" o:allowincell="f" strokeweight=".7pt">
            <w10:wrap anchorx="margin"/>
          </v:line>
        </w:pict>
      </w:r>
      <w:r w:rsidR="00034B78" w:rsidRPr="004D14A5">
        <w:rPr>
          <w:sz w:val="28"/>
          <w:szCs w:val="28"/>
          <w:lang w:val="uk-UA"/>
        </w:rPr>
        <w:t>політичні (нестабільність, несвоєчасність, а інколи і нездатність уряду проводити реформи й</w:t>
      </w:r>
      <w:r w:rsidR="008423E6" w:rsidRPr="004D14A5">
        <w:rPr>
          <w:sz w:val="28"/>
          <w:szCs w:val="28"/>
          <w:lang w:val="uk-UA"/>
        </w:rPr>
        <w:t xml:space="preserve"> </w:t>
      </w:r>
      <w:r w:rsidR="00034B78" w:rsidRPr="004D14A5">
        <w:rPr>
          <w:sz w:val="28"/>
          <w:szCs w:val="28"/>
          <w:lang w:val="uk-UA"/>
        </w:rPr>
        <w:t>приймати відповідні нормативні акти);</w:t>
      </w:r>
    </w:p>
    <w:p w:rsidR="00034B78" w:rsidRPr="004D14A5" w:rsidRDefault="00034B78" w:rsidP="004D14A5">
      <w:pPr>
        <w:numPr>
          <w:ilvl w:val="0"/>
          <w:numId w:val="5"/>
        </w:numPr>
        <w:shd w:val="clear" w:color="auto" w:fill="FFFFFF"/>
        <w:tabs>
          <w:tab w:val="clear" w:pos="2149"/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юридичні (недосконалість законодавчої бази, відсутність необхідних й дійових правових і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нормативних актів стосовно регулювання інноваційної діяльності);</w:t>
      </w:r>
    </w:p>
    <w:p w:rsidR="00034B78" w:rsidRPr="004D14A5" w:rsidRDefault="00034B78" w:rsidP="004D14A5">
      <w:pPr>
        <w:numPr>
          <w:ilvl w:val="0"/>
          <w:numId w:val="5"/>
        </w:numPr>
        <w:shd w:val="clear" w:color="auto" w:fill="FFFFFF"/>
        <w:tabs>
          <w:tab w:val="clear" w:pos="2149"/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науково-технічні (недосконалість науково-технічної політики держави, недостатність досвіду з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питання купівлі-продажу ліцензій, несприятливий інноваційно-інвестиційний клімат, відсутність ефективної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системи заохочення вітчизняного науковця та винахідника);</w:t>
      </w:r>
    </w:p>
    <w:p w:rsidR="00034B78" w:rsidRPr="004D14A5" w:rsidRDefault="00034B78" w:rsidP="004D14A5">
      <w:pPr>
        <w:numPr>
          <w:ilvl w:val="0"/>
          <w:numId w:val="5"/>
        </w:numPr>
        <w:shd w:val="clear" w:color="auto" w:fill="FFFFFF"/>
        <w:tabs>
          <w:tab w:val="clear" w:pos="2149"/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соціальні (низький рівень життя, тенденція до зниження чисельності населення, відплив кадрів,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старіння нації, зниження рівня кваліфікації через еміграцію фахівців до інших країн та перехід до більш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перспективних сфер, що надають можливість вищого заробітку).</w:t>
      </w:r>
    </w:p>
    <w:p w:rsidR="009B1FC2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До внутрішніх факторів, які вплинули на інноваційну діяльність, слід віднести: скорочення показників зняття з виробництва застарілих видів техніки, введення в дію механізованих та автоматизованих ліній, недостатній обсяг проведених маркетингових досліджень, відсутність належного заохочення винахідника і раціоналізатора, низький рівень інноваційної культури тощо.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Це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наслідок недосконалості та відсутності ефективної системи стимулювання інноваційної діяльності підприємства взагалі.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Необхідно зазначити, що в Україні законодавчо передбачені заходи по стимулюванню інноваційного розвитку. На сьогодні нормативна база представлена такими нормативними актами: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наукову і науково-технічну діяльність» від 13 грудня 1991 року № 1977-XII;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інноваційну діяльність» від 04.07.2002 № 40-IV;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пріоритетні напрямки інноваційної діяльності в Україні» від 16.01.2003 №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433-IV;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спеціальний режим інноваційної діяльності технологічних парків» від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16.07.1999 №991-XIV;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Загальнодержавну комплексну програму розвитку високих наукоємних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технологій» від 09.04.2004 № 1676-IV;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пріоритетні напрями розвитку науки і техніки» від 11.07.2001 № 2623-III;</w:t>
      </w:r>
    </w:p>
    <w:p w:rsidR="00034B78" w:rsidRPr="004D14A5" w:rsidRDefault="00034B78" w:rsidP="004D14A5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Закон України «Про державні цільові програми» від 18.03.2004 № 1621-IV, та низка інших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нормативно-правових актів.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Однак, дія окремих положень даних законів або призупинялась на певний період, або механізми регулювання та стимулювання інноваційної діяльності на практиці не є достатньо ефективними, крім того, не відзначається стабільністю державна політика щодо інноваційної інфраструктури (технопарків, технологічних інкубаторів), особливо в частині забезпечення їм передбачених законодавством пільг.</w:t>
      </w:r>
    </w:p>
    <w:p w:rsidR="009B1FC2" w:rsidRPr="004D14A5" w:rsidRDefault="009B1FC2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B1FC2" w:rsidRPr="004D14A5" w:rsidRDefault="009B1FC2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caps/>
          <w:sz w:val="28"/>
          <w:szCs w:val="28"/>
          <w:lang w:val="uk-UA"/>
        </w:rPr>
      </w:pPr>
      <w:r w:rsidRPr="004D14A5">
        <w:rPr>
          <w:b/>
          <w:bCs/>
          <w:caps/>
          <w:sz w:val="28"/>
          <w:szCs w:val="28"/>
          <w:lang w:val="uk-UA"/>
        </w:rPr>
        <w:br w:type="page"/>
        <w:t>Динаміка технологічного прогресу</w:t>
      </w:r>
    </w:p>
    <w:p w:rsidR="009B1FC2" w:rsidRPr="004D14A5" w:rsidRDefault="009B1FC2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Для того, щоб максимально пришвидшити і підвищити ефективність впровадження інноваційних перетворень доцільно орієнтуватися на досвід розвинутих країн світу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США, ФРН, Японії, Китаю. Саме в цих країнах досягнуто досить високого насичення робочої сили вченими та спеціалістами (0,4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0,7% працюючих). І триває нарощування кількості вчених-дослідників, розробників нових технологічних систем і робототехніки. Одночасно, в цих країнах збільшуються витрати на науково-дослідницькі роботи (10-15% на рік), розширюються мережі наукових та інноваційних організацій, зростає рівень загальної освіти населення, його професійної підготовки [2].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Також у високорозвинених країнах ЄС, США, Японії, спостерігається швидке зростання міжнародного співробітництва у сфері науки та технологій суб'єктами всіх інституційних рівнів. Це зумовлено:</w:t>
      </w:r>
    </w:p>
    <w:p w:rsidR="00034B78" w:rsidRPr="004D14A5" w:rsidRDefault="00034B78" w:rsidP="004D14A5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глобалізацією інвестицій;</w:t>
      </w:r>
    </w:p>
    <w:p w:rsidR="00034B78" w:rsidRPr="004D14A5" w:rsidRDefault="00034B78" w:rsidP="004D14A5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швидкими темпами технологічного оновлення основних факторів виробництва,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скорочення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життєвих циклів продукції;</w:t>
      </w:r>
    </w:p>
    <w:p w:rsidR="00034B78" w:rsidRPr="004D14A5" w:rsidRDefault="00034B78" w:rsidP="004D14A5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інтернаціоналізацією системи підготовки та перепідготовки персоналу.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Сьогодні світовий ринок високих технологій складає приблизно 2 трильйона доларів, з яких доля США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39%, Японії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30%, Німеччини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16%. Результатом інноваційної діяльності є інтелектуальний продукт, без якого неможливо створювати конкурентноздатну продукцію. Найважливішою економічною метою передових компаній є підтримання здатності до інноваційного розвитку та ефективного використання найновітніших технологій.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На світовому ринку наукомісткої продукції чітко простежується тенденція посилення конкуренції. У зв'язку із цим, дедалі більша частка витрат підприємств переноситься зі сфери промислового виробництва до сфери досліджень і розробок нових технологій і виробів. Водночас, зростає значення правового захисту об'єктів інтелектуальної власності для забезпечення світогосподарських ринкових позицій. Інновації сьогодні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найбільш ефективний засіб технологічного розвитку підприємств, забезпечення сильних ринкових позицій, які ґрунтуються на суттєвих конкурентних перевагах, що дає змогу вийти зі стану економічної депресії [3].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Динаміка технологічного прогресу у високорозвинутих країнах просто вражає. Відбувається «виштовхування» одних поколінь техніки та технології іншими. Тому керівникам підприємств необхідно аналізувати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можливий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вплив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загальносвітового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науково-технічного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середовища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на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>створення</w:t>
      </w:r>
      <w:r w:rsidR="008423E6" w:rsidRPr="004D14A5">
        <w:rPr>
          <w:sz w:val="28"/>
          <w:szCs w:val="28"/>
          <w:lang w:val="uk-UA"/>
        </w:rPr>
        <w:t xml:space="preserve"> </w:t>
      </w:r>
      <w:r w:rsidRPr="004D14A5">
        <w:rPr>
          <w:sz w:val="28"/>
          <w:szCs w:val="28"/>
          <w:lang w:val="uk-UA"/>
        </w:rPr>
        <w:t xml:space="preserve">і впровадження технологічних новацій. При цьому велику увагу слід приділяти науковим винаходам чи відкриттям, які можуть революційно вплинути на подальше використання існуючих технологій, роблячи їх </w:t>
      </w:r>
      <w:r w:rsidR="008423E6" w:rsidRPr="004D14A5">
        <w:rPr>
          <w:sz w:val="28"/>
          <w:szCs w:val="28"/>
          <w:lang w:val="uk-UA"/>
        </w:rPr>
        <w:t>мало перспективними</w:t>
      </w:r>
      <w:r w:rsidRPr="004D14A5">
        <w:rPr>
          <w:sz w:val="28"/>
          <w:szCs w:val="28"/>
          <w:lang w:val="uk-UA"/>
        </w:rPr>
        <w:t>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З іншого боку, пропонуючи ринку науково-технічні розробки (насамперед, це стосується наукомістких підприємств, які застосовують технології найвищого рівня, величезного інноваційного потенціалу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комп'ютерні, лазерні, плазмові, біологічні), слід подбати про їх належний інформаційний та інженерний супровід. Дуже часто перспективні науково-технічні, в тому числі й вітчизняні розробки, не можуть знайти застосування через непідготовленість ринку до їх сприйняття. Тому потрібно заздалегідь готувати ґрунт для успішного просування новинки на ринок, використовуючи для цього всі можливості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від іміджевої інформації до участі у міжнародних виставках і презентаціях.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Ще однією проблемою залишається невідповідність між нагромадженим науково-технічним потенціалом і продуктивністю національної економіки, що більше ніж у 4 рази нижча, ніж у розвинутих країнах [4, с.35]. Саме цей показник найбільш повно характеризує рівень виробництва. Низький рівень продуктивності праці обумовлює низьку оплату праці, яка є ознакою антиінноваційної економіки.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Тобто переваги від провадження інноваційної діяльності у вітчизняній економіці важко переоцінити. Із недоліків можна визначити лише значну вартість розробок та ризик відсутності попиту на розробку після її завершення.</w:t>
      </w:r>
    </w:p>
    <w:p w:rsidR="008423E6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Однак, зазначені негативні фактори можна нівелювати, хоча б частково, за рахунок більш активної інвестиційної політики, впровадженням дієвого механізму пільг для підприємств-розробників, широка державна підтримка, створення венчурних підприємств для апробації розробок.</w:t>
      </w:r>
    </w:p>
    <w:p w:rsidR="009B1FC2" w:rsidRPr="004D14A5" w:rsidRDefault="009B1FC2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423E6" w:rsidRPr="004D14A5" w:rsidRDefault="008423E6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caps/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br w:type="page"/>
      </w:r>
      <w:r w:rsidR="00034B78" w:rsidRPr="004D14A5">
        <w:rPr>
          <w:b/>
          <w:bCs/>
          <w:caps/>
          <w:sz w:val="28"/>
          <w:szCs w:val="28"/>
          <w:lang w:val="uk-UA"/>
        </w:rPr>
        <w:t>Висновки</w:t>
      </w:r>
    </w:p>
    <w:p w:rsidR="008423E6" w:rsidRPr="004D14A5" w:rsidRDefault="008423E6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Проведений аналіз стану вітчизняної інноваційної діяльності свідчить про недоступність механізмів реалізації інноваційного розвитку. Це зумовлює також низьку конкурентоспроможність національної економіки, високу енерго- та ресурсо</w:t>
      </w:r>
      <w:r w:rsidR="008423E6" w:rsidRPr="004D14A5">
        <w:rPr>
          <w:sz w:val="28"/>
          <w:szCs w:val="28"/>
          <w:lang w:val="uk-UA"/>
        </w:rPr>
        <w:t>ємність</w:t>
      </w:r>
      <w:r w:rsidRPr="004D14A5">
        <w:rPr>
          <w:sz w:val="28"/>
          <w:szCs w:val="28"/>
          <w:lang w:val="uk-UA"/>
        </w:rPr>
        <w:t>, збільшує техногенне навантаження на природне середовище.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Крім того, інноваційний розвиток неможливий без узгодження інноваційної політики з іншими напрямами державної політики [6, с. 17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18], оскільки перша пов'язана із різними сферами економіко-політичного устрою держави, через що потрібна </w:t>
      </w:r>
      <w:r w:rsidR="008423E6" w:rsidRPr="004D14A5">
        <w:rPr>
          <w:sz w:val="28"/>
          <w:szCs w:val="28"/>
          <w:lang w:val="uk-UA"/>
        </w:rPr>
        <w:t>координованість</w:t>
      </w:r>
      <w:r w:rsidRPr="004D14A5">
        <w:rPr>
          <w:sz w:val="28"/>
          <w:szCs w:val="28"/>
          <w:lang w:val="uk-UA"/>
        </w:rPr>
        <w:t xml:space="preserve"> для отримання належного ефекту.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Аналіз функціонування окремих видів економічної діяльності України свідчить, що до найбільш пріоритетних напрямків інвестиційно-інноваційної діяльності належать: ракетно-космічне виробництво; літакобудування; суднобудування; біотехнології; виробництво окремих видів озброєння і військової техніки.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Фактично підприємства та організації цих видів економічної діяльності завдяки своїй наукомісткості та високій технологічності вже є інноваційними лідерами України. А інновації стають щоразу перспективнішими, оскільки так забезпечується технологічне оновлення виробництва, підтримується і розвивається конкурентоспроможність. Тому, вважається за доцільне формувати основи інноваційних реформ саме починаючи з цих галузей, які можуть стати локомотивом вітчизняного інноваційного процесу та стимулювати інноваційне оновлення суміжних та допоміжних галузей.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Уникнення технологічної залежності України можливе лише шляхом відновлення активного науково-технічного розвитку через використання новаторської праці, що створює нові знання й нові технології, та підтримки підприємництва у промисловій сфері та відповідне законодавче забезпечення цього процесу.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Для України як держави з економікою, що трансформується, тільки інноваційна стратегія має визначати шлях соціально-економічних перетворень. Інноваційні механізми економічного розвитку мають використовувати наявний науково-технічний потенціал і базуватися на відповідній інфраструктурі. Основою інноваційного розвитку має бути створення фінансово-промислових груп, зокрема транснаціональних, а також холдингових компаній, науково-технічних центрів, технополісів і технопарків, лізингових фірм. У перспективі вони повинні стати стрижнем інноваційного процесу.</w:t>
      </w: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Перспективою ж для подальших розробок за матеріалами даної статті у зазначеному напрямі слугуватиме зменшення ступеня ризику щодо провадження інноваційних реформ в Україні. Безумовне врахування світового досвіду науково-дослідних робіт та дослідно-конструкторських розробок, але з обов'язковою екстраполяцією на вітчизняні особливості національної інноваційної системи, дозволить оптимізувати роботу по прийняттю стратегічних управлінських рішень з даного питання.</w:t>
      </w:r>
    </w:p>
    <w:p w:rsidR="007F7638" w:rsidRPr="004D14A5" w:rsidRDefault="007F763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shd w:val="clear" w:color="auto" w:fill="FFFFFF"/>
        <w:spacing w:line="360" w:lineRule="auto"/>
        <w:ind w:firstLine="720"/>
        <w:jc w:val="center"/>
        <w:rPr>
          <w:b/>
          <w:bCs/>
          <w:caps/>
          <w:sz w:val="28"/>
          <w:szCs w:val="28"/>
          <w:lang w:val="uk-UA"/>
        </w:rPr>
      </w:pPr>
      <w:r w:rsidRPr="004D14A5">
        <w:rPr>
          <w:b/>
          <w:bCs/>
          <w:sz w:val="28"/>
          <w:szCs w:val="28"/>
          <w:lang w:val="uk-UA"/>
        </w:rPr>
        <w:br w:type="page"/>
      </w:r>
      <w:r w:rsidRPr="004D14A5">
        <w:rPr>
          <w:b/>
          <w:bCs/>
          <w:caps/>
          <w:sz w:val="28"/>
          <w:szCs w:val="28"/>
          <w:lang w:val="uk-UA"/>
        </w:rPr>
        <w:t>Література</w:t>
      </w:r>
    </w:p>
    <w:p w:rsidR="007F7638" w:rsidRPr="004D14A5" w:rsidRDefault="007F7638" w:rsidP="004D14A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b/>
          <w:bCs/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Пічкур О. Особливості інноваційної діяльності на сучасному етапі // Інтелектуальна власність.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2005.-№1.-С. 34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39.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Гришин І.Я. Національна ідея тотальних інновацій та інформаційна технологія клієнт-сервер // Вісник УАДУ.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2005.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№ 2.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С. 205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208.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Покропивный С. Инновационный менеджмент в рыночной системе хозяйствования // Экономика Украины.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2005.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№ 2.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С. 34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38.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Петрина М. Базові умови створення інноваційної моделі розвитку економіки України // Економіка України.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2006.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№ 8.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С. 35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40.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  <w:tab w:val="left" w:pos="984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>Федулова Л., Пашута М. Розвиток національної інноваційної системи України // Економіка України.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2005.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№ 4.</w:t>
      </w:r>
      <w:r w:rsidR="008423E6" w:rsidRPr="004D14A5">
        <w:rPr>
          <w:sz w:val="28"/>
          <w:szCs w:val="28"/>
          <w:lang w:val="uk-UA"/>
        </w:rPr>
        <w:t xml:space="preserve"> – </w:t>
      </w:r>
      <w:r w:rsidRPr="004D14A5">
        <w:rPr>
          <w:sz w:val="28"/>
          <w:szCs w:val="28"/>
          <w:lang w:val="uk-UA"/>
        </w:rPr>
        <w:t>С. 35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47.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Каракай Ю. Роль держави у стимулюванні інноваційної діяльності // Економіка України.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№ 3.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2007.-С. 14</w:t>
      </w:r>
      <w:r w:rsidR="00ED3783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>21.</w:t>
      </w:r>
    </w:p>
    <w:p w:rsidR="00034B78" w:rsidRPr="004D14A5" w:rsidRDefault="00034B78" w:rsidP="004D14A5">
      <w:pPr>
        <w:numPr>
          <w:ilvl w:val="0"/>
          <w:numId w:val="8"/>
        </w:numPr>
        <w:shd w:val="clear" w:color="auto" w:fill="FFFFFF"/>
        <w:tabs>
          <w:tab w:val="left" w:pos="426"/>
          <w:tab w:val="left" w:pos="994"/>
        </w:tabs>
        <w:spacing w:line="360" w:lineRule="auto"/>
        <w:ind w:left="0" w:firstLine="0"/>
        <w:rPr>
          <w:sz w:val="28"/>
          <w:szCs w:val="28"/>
          <w:lang w:val="uk-UA"/>
        </w:rPr>
      </w:pPr>
      <w:r w:rsidRPr="004D14A5">
        <w:rPr>
          <w:sz w:val="28"/>
          <w:szCs w:val="28"/>
          <w:lang w:val="uk-UA"/>
        </w:rPr>
        <w:t xml:space="preserve">Козоріг М.А., Жихор О.Б. Проблеми забезпечення економіки України науковими кадрами [Електронний ресурс]. </w:t>
      </w:r>
      <w:r w:rsidR="008423E6" w:rsidRPr="004D14A5">
        <w:rPr>
          <w:sz w:val="28"/>
          <w:szCs w:val="28"/>
          <w:lang w:val="uk-UA"/>
        </w:rPr>
        <w:t>–</w:t>
      </w:r>
      <w:r w:rsidRPr="004D14A5">
        <w:rPr>
          <w:sz w:val="28"/>
          <w:szCs w:val="28"/>
          <w:lang w:val="uk-UA"/>
        </w:rPr>
        <w:t xml:space="preserve"> Доступ до статті: www.nbuv.gov.ua</w:t>
      </w:r>
      <w:bookmarkStart w:id="0" w:name="_GoBack"/>
      <w:bookmarkEnd w:id="0"/>
    </w:p>
    <w:sectPr w:rsidR="00034B78" w:rsidRPr="004D14A5" w:rsidSect="00017314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8B4CE4A"/>
    <w:lvl w:ilvl="0">
      <w:numFmt w:val="bullet"/>
      <w:lvlText w:val="*"/>
      <w:lvlJc w:val="left"/>
    </w:lvl>
  </w:abstractNum>
  <w:abstractNum w:abstractNumId="1">
    <w:nsid w:val="1F2D4BA6"/>
    <w:multiLevelType w:val="hybridMultilevel"/>
    <w:tmpl w:val="CE760B16"/>
    <w:lvl w:ilvl="0" w:tplc="DE30944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32B61B72"/>
    <w:multiLevelType w:val="hybridMultilevel"/>
    <w:tmpl w:val="E7961CD2"/>
    <w:lvl w:ilvl="0" w:tplc="23A0193C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06798"/>
    <w:multiLevelType w:val="singleLevel"/>
    <w:tmpl w:val="27A422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020FFD"/>
    <w:multiLevelType w:val="singleLevel"/>
    <w:tmpl w:val="3312AC9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5">
    <w:nsid w:val="4E281CD7"/>
    <w:multiLevelType w:val="hybridMultilevel"/>
    <w:tmpl w:val="3CCE2040"/>
    <w:lvl w:ilvl="0" w:tplc="DE30944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D732DC8"/>
    <w:multiLevelType w:val="hybridMultilevel"/>
    <w:tmpl w:val="0442D9F0"/>
    <w:lvl w:ilvl="0" w:tplc="DE30944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B1A"/>
    <w:rsid w:val="00017314"/>
    <w:rsid w:val="00034B78"/>
    <w:rsid w:val="001A16B8"/>
    <w:rsid w:val="002A2590"/>
    <w:rsid w:val="004D14A5"/>
    <w:rsid w:val="0056550B"/>
    <w:rsid w:val="00650AC2"/>
    <w:rsid w:val="007F7638"/>
    <w:rsid w:val="008423E6"/>
    <w:rsid w:val="009206A8"/>
    <w:rsid w:val="009473B1"/>
    <w:rsid w:val="009B1FC2"/>
    <w:rsid w:val="00A72B1A"/>
    <w:rsid w:val="00B15030"/>
    <w:rsid w:val="00E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61C9436-D3A7-4352-8307-150802AC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3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ФОРМУВАННЯ УМОВ ЗДІЙСНЕННЯ ІННОВАЦІЙНИХ РЕФОРМ В УКРАЇНІ</vt:lpstr>
    </vt:vector>
  </TitlesOfParts>
  <Company>Kr</Company>
  <LinksUpToDate>false</LinksUpToDate>
  <CharactersWithSpaces>14784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ФОРМУВАННЯ УМОВ ЗДІЙСНЕННЯ ІННОВАЦІЙНИХ РЕФОРМ В УКРАЇНІ</dc:title>
  <dc:subject/>
  <dc:creator>123</dc:creator>
  <cp:keywords/>
  <dc:description/>
  <cp:lastModifiedBy>admin</cp:lastModifiedBy>
  <cp:revision>2</cp:revision>
  <dcterms:created xsi:type="dcterms:W3CDTF">2014-03-22T11:46:00Z</dcterms:created>
  <dcterms:modified xsi:type="dcterms:W3CDTF">2014-03-22T11:46:00Z</dcterms:modified>
</cp:coreProperties>
</file>