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89A" w:rsidRDefault="00EE389A" w:rsidP="002E0A8E">
      <w:pPr>
        <w:jc w:val="center"/>
        <w:rPr>
          <w:b/>
          <w:color w:val="000000"/>
          <w:sz w:val="28"/>
          <w:szCs w:val="28"/>
          <w:lang w:val="ru-RU"/>
        </w:rPr>
      </w:pPr>
    </w:p>
    <w:p w:rsidR="00316B61" w:rsidRDefault="00316B61" w:rsidP="002E0A8E">
      <w:pPr>
        <w:jc w:val="center"/>
        <w:rPr>
          <w:b/>
          <w:color w:val="000000"/>
          <w:sz w:val="28"/>
          <w:szCs w:val="28"/>
          <w:lang w:val="ru-RU"/>
        </w:rPr>
      </w:pPr>
      <w:r w:rsidRPr="002E0A8E">
        <w:rPr>
          <w:b/>
          <w:color w:val="000000"/>
          <w:sz w:val="28"/>
          <w:szCs w:val="28"/>
          <w:lang w:val="ru-RU"/>
        </w:rPr>
        <w:t>Введение</w:t>
      </w:r>
    </w:p>
    <w:p w:rsidR="00316B61" w:rsidRPr="002E0A8E" w:rsidRDefault="00316B61" w:rsidP="002E0A8E">
      <w:pPr>
        <w:jc w:val="center"/>
        <w:rPr>
          <w:b/>
          <w:color w:val="000000"/>
          <w:sz w:val="28"/>
          <w:szCs w:val="28"/>
          <w:lang w:val="ru-RU"/>
        </w:rPr>
      </w:pPr>
    </w:p>
    <w:p w:rsidR="00316B61" w:rsidRPr="002E0A8E" w:rsidRDefault="00316B61" w:rsidP="002E0A8E">
      <w:pPr>
        <w:rPr>
          <w:color w:val="000000"/>
          <w:sz w:val="28"/>
          <w:szCs w:val="28"/>
          <w:lang w:val="ru-RU"/>
        </w:rPr>
      </w:pPr>
      <w:r w:rsidRPr="002E0A8E">
        <w:rPr>
          <w:color w:val="000000"/>
          <w:sz w:val="28"/>
          <w:szCs w:val="28"/>
          <w:lang w:val="ru-RU"/>
        </w:rPr>
        <w:t>Для оценки инвестиционной привлекательности субъекта экономики предлагается методика согласования инвестиционного контракта между инвестором и субъектом экономики. В рамках такой методики описаны характеристики, оценивающие инвестиционную привлекательность субъекта экономики. В действительности, такая методика может быть использована для решения более широкого круга задач, в частности, в задаче рационального заимствования субъектом экономики средств одновременно у различных инвесторов, либо в задаче рационального размещения средств инвестором у различных субъектов экономики.</w:t>
      </w:r>
    </w:p>
    <w:p w:rsidR="00316B61" w:rsidRPr="002E0A8E" w:rsidRDefault="00316B61" w:rsidP="002E0A8E">
      <w:pPr>
        <w:rPr>
          <w:color w:val="000000"/>
          <w:sz w:val="28"/>
          <w:szCs w:val="28"/>
          <w:lang w:val="ru-RU"/>
        </w:rPr>
      </w:pPr>
      <w:r w:rsidRPr="002E0A8E">
        <w:rPr>
          <w:color w:val="000000"/>
          <w:sz w:val="28"/>
          <w:szCs w:val="28"/>
          <w:lang w:val="ru-RU"/>
        </w:rPr>
        <w:t>Исследование проблем инвестирования экономики всегда находилось в центре внимания экономической науки. Это обусловлено тем, что инвестиции затрагивают самые глубинные основы хозяйственной деятельности, определяя процесс экономического роста в целом. В современных условиях они выступают важнейшим средством обеспечения условий выхода из сложившегося экономического кризиса, структурных сдвигов в народном хозяйстве, обеспечения технического прогресса, повышения качественных показателей хозяйственной деятельности на микро- и макроуровнях. Активизация инвестиционного процесса является одним из наиболее действенных механизмов социально-экономических преобразований.</w:t>
      </w:r>
    </w:p>
    <w:p w:rsidR="00316B61" w:rsidRPr="002E0A8E" w:rsidRDefault="00316B61" w:rsidP="002E0A8E">
      <w:pPr>
        <w:rPr>
          <w:sz w:val="28"/>
          <w:szCs w:val="28"/>
          <w:lang w:val="ru-RU"/>
        </w:rPr>
      </w:pPr>
    </w:p>
    <w:p w:rsidR="00316B61" w:rsidRDefault="00316B61" w:rsidP="002429A7">
      <w:pPr>
        <w:widowControl w:val="0"/>
        <w:shd w:val="clear" w:color="auto" w:fill="FFFFFF"/>
        <w:tabs>
          <w:tab w:val="left" w:pos="993"/>
        </w:tabs>
        <w:ind w:firstLine="0"/>
        <w:rPr>
          <w:sz w:val="28"/>
          <w:szCs w:val="28"/>
          <w:lang w:val="ru-RU"/>
        </w:rPr>
      </w:pPr>
    </w:p>
    <w:p w:rsidR="00316B61" w:rsidRDefault="00316B61" w:rsidP="002429A7">
      <w:pPr>
        <w:widowControl w:val="0"/>
        <w:shd w:val="clear" w:color="auto" w:fill="FFFFFF"/>
        <w:tabs>
          <w:tab w:val="left" w:pos="993"/>
        </w:tabs>
        <w:ind w:firstLine="0"/>
        <w:rPr>
          <w:sz w:val="28"/>
          <w:szCs w:val="28"/>
          <w:lang w:val="ru-RU"/>
        </w:rPr>
      </w:pPr>
    </w:p>
    <w:p w:rsidR="00316B61" w:rsidRDefault="00316B61" w:rsidP="002429A7">
      <w:pPr>
        <w:widowControl w:val="0"/>
        <w:shd w:val="clear" w:color="auto" w:fill="FFFFFF"/>
        <w:tabs>
          <w:tab w:val="left" w:pos="993"/>
        </w:tabs>
        <w:ind w:firstLine="0"/>
        <w:rPr>
          <w:sz w:val="28"/>
          <w:szCs w:val="28"/>
          <w:lang w:val="ru-RU"/>
        </w:rPr>
      </w:pPr>
    </w:p>
    <w:p w:rsidR="00316B61" w:rsidRDefault="00316B61" w:rsidP="002429A7">
      <w:pPr>
        <w:widowControl w:val="0"/>
        <w:shd w:val="clear" w:color="auto" w:fill="FFFFFF"/>
        <w:tabs>
          <w:tab w:val="left" w:pos="993"/>
        </w:tabs>
        <w:ind w:firstLine="0"/>
        <w:rPr>
          <w:sz w:val="28"/>
          <w:szCs w:val="28"/>
          <w:lang w:val="ru-RU"/>
        </w:rPr>
      </w:pPr>
    </w:p>
    <w:p w:rsidR="00316B61" w:rsidRDefault="00316B61" w:rsidP="002429A7">
      <w:pPr>
        <w:widowControl w:val="0"/>
        <w:shd w:val="clear" w:color="auto" w:fill="FFFFFF"/>
        <w:tabs>
          <w:tab w:val="left" w:pos="993"/>
        </w:tabs>
        <w:ind w:firstLine="0"/>
        <w:rPr>
          <w:sz w:val="28"/>
          <w:szCs w:val="28"/>
          <w:lang w:val="ru-RU"/>
        </w:rPr>
      </w:pPr>
    </w:p>
    <w:p w:rsidR="00316B61" w:rsidRDefault="00316B61" w:rsidP="002429A7">
      <w:pPr>
        <w:widowControl w:val="0"/>
        <w:shd w:val="clear" w:color="auto" w:fill="FFFFFF"/>
        <w:tabs>
          <w:tab w:val="left" w:pos="993"/>
        </w:tabs>
        <w:ind w:firstLine="0"/>
        <w:rPr>
          <w:sz w:val="28"/>
          <w:szCs w:val="28"/>
          <w:lang w:val="ru-RU"/>
        </w:rPr>
      </w:pPr>
    </w:p>
    <w:p w:rsidR="00316B61" w:rsidRDefault="00316B61" w:rsidP="002429A7">
      <w:pPr>
        <w:widowControl w:val="0"/>
        <w:shd w:val="clear" w:color="auto" w:fill="FFFFFF"/>
        <w:tabs>
          <w:tab w:val="left" w:pos="993"/>
        </w:tabs>
        <w:ind w:firstLine="0"/>
        <w:rPr>
          <w:sz w:val="28"/>
          <w:szCs w:val="28"/>
          <w:lang w:val="ru-RU"/>
        </w:rPr>
      </w:pPr>
    </w:p>
    <w:p w:rsidR="00316B61" w:rsidRPr="002E0A8E" w:rsidRDefault="00316B61" w:rsidP="002E0A8E">
      <w:pPr>
        <w:widowControl w:val="0"/>
        <w:shd w:val="clear" w:color="auto" w:fill="FFFFFF"/>
        <w:tabs>
          <w:tab w:val="left" w:pos="993"/>
        </w:tabs>
        <w:ind w:firstLine="709"/>
        <w:jc w:val="center"/>
        <w:rPr>
          <w:sz w:val="28"/>
          <w:szCs w:val="28"/>
          <w:lang w:val="ru-RU"/>
        </w:rPr>
      </w:pPr>
      <w:r w:rsidRPr="002E0A8E">
        <w:rPr>
          <w:b/>
          <w:sz w:val="28"/>
          <w:szCs w:val="28"/>
          <w:lang w:val="ru-RU"/>
        </w:rPr>
        <w:t>Глава 1  Сущность и критерии инвестиционной привлекательности муниципального образования</w:t>
      </w:r>
    </w:p>
    <w:p w:rsidR="00316B61" w:rsidRPr="002E0A8E" w:rsidRDefault="00316B61" w:rsidP="002E0A8E">
      <w:pPr>
        <w:widowControl w:val="0"/>
        <w:shd w:val="clear" w:color="auto" w:fill="FFFFFF"/>
        <w:tabs>
          <w:tab w:val="left" w:pos="993"/>
        </w:tabs>
        <w:jc w:val="center"/>
        <w:rPr>
          <w:b/>
          <w:sz w:val="28"/>
          <w:szCs w:val="28"/>
          <w:lang w:val="ru-RU"/>
        </w:rPr>
      </w:pPr>
    </w:p>
    <w:p w:rsidR="00316B61" w:rsidRPr="00B55EA6" w:rsidRDefault="00316B61" w:rsidP="002E0A8E">
      <w:pPr>
        <w:pStyle w:val="11"/>
        <w:widowControl w:val="0"/>
        <w:numPr>
          <w:ilvl w:val="1"/>
          <w:numId w:val="6"/>
        </w:numPr>
        <w:shd w:val="clear" w:color="auto" w:fill="FFFFFF"/>
        <w:tabs>
          <w:tab w:val="left" w:pos="993"/>
        </w:tabs>
        <w:overflowPunct/>
        <w:autoSpaceDE/>
        <w:autoSpaceDN/>
        <w:adjustRightInd/>
        <w:jc w:val="center"/>
        <w:textAlignment w:val="auto"/>
        <w:rPr>
          <w:b/>
          <w:sz w:val="28"/>
          <w:szCs w:val="28"/>
        </w:rPr>
      </w:pPr>
      <w:r w:rsidRPr="00B55EA6">
        <w:rPr>
          <w:b/>
          <w:sz w:val="28"/>
          <w:szCs w:val="28"/>
        </w:rPr>
        <w:t>Инвестиционный потенциал</w:t>
      </w:r>
    </w:p>
    <w:p w:rsidR="00316B61" w:rsidRPr="00B55EA6" w:rsidRDefault="00316B61" w:rsidP="002E0A8E">
      <w:pPr>
        <w:pStyle w:val="11"/>
        <w:widowControl w:val="0"/>
        <w:shd w:val="clear" w:color="auto" w:fill="FFFFFF"/>
        <w:tabs>
          <w:tab w:val="left" w:pos="993"/>
        </w:tabs>
        <w:ind w:left="450"/>
        <w:rPr>
          <w:b/>
          <w:sz w:val="28"/>
          <w:szCs w:val="28"/>
        </w:rPr>
      </w:pPr>
    </w:p>
    <w:p w:rsidR="00316B61" w:rsidRPr="002E0A8E" w:rsidRDefault="00316B61" w:rsidP="002E0A8E">
      <w:pPr>
        <w:widowControl w:val="0"/>
        <w:shd w:val="clear" w:color="auto" w:fill="FFFFFF"/>
        <w:tabs>
          <w:tab w:val="left" w:pos="993"/>
        </w:tabs>
        <w:rPr>
          <w:sz w:val="28"/>
          <w:szCs w:val="28"/>
          <w:lang w:val="ru-RU"/>
        </w:rPr>
      </w:pPr>
      <w:r w:rsidRPr="002E0A8E">
        <w:rPr>
          <w:sz w:val="28"/>
          <w:szCs w:val="28"/>
          <w:lang w:val="ru-RU"/>
        </w:rPr>
        <w:t xml:space="preserve">       В условиях интенсивной глобализации, формирования рынка, усиливающейся конкуренции, переноса центра тяжести в решении большой совокупности социальных задач с федерального уровня на региональный, происходит массированная реструктуризация и реорганизация экономики регионов, инициируются сложные глубинные трансформации. Становится очевидным, что ответственность за решение социально-экономических проблем территории должны взять на себя как федеральный центр, так и сами регионы и муниципальные образования.</w:t>
      </w:r>
    </w:p>
    <w:p w:rsidR="00316B61" w:rsidRPr="002E0A8E" w:rsidRDefault="00316B61" w:rsidP="002E0A8E">
      <w:pPr>
        <w:widowControl w:val="0"/>
        <w:shd w:val="clear" w:color="auto" w:fill="FFFFFF"/>
        <w:tabs>
          <w:tab w:val="left" w:pos="993"/>
        </w:tabs>
        <w:ind w:firstLine="709"/>
        <w:rPr>
          <w:sz w:val="28"/>
          <w:szCs w:val="28"/>
          <w:lang w:val="ru-RU"/>
        </w:rPr>
      </w:pPr>
      <w:r w:rsidRPr="002E0A8E">
        <w:rPr>
          <w:sz w:val="28"/>
          <w:szCs w:val="28"/>
          <w:lang w:val="ru-RU"/>
        </w:rPr>
        <w:t>В настоящее время инвестиции, их объем, состав (типы), дифференциация по направлениям и формам собственности, представляют весьма существенную основу хозяйственного развития страны, ее регионов и муниципальных образований, стратегическое острие которой направлено на существенное повышение благосостояния народа.</w:t>
      </w:r>
    </w:p>
    <w:p w:rsidR="00316B61" w:rsidRPr="002E0A8E" w:rsidRDefault="00316B61" w:rsidP="002E0A8E">
      <w:pPr>
        <w:widowControl w:val="0"/>
        <w:shd w:val="clear" w:color="auto" w:fill="FFFFFF"/>
        <w:tabs>
          <w:tab w:val="left" w:pos="993"/>
        </w:tabs>
        <w:ind w:firstLine="709"/>
        <w:rPr>
          <w:sz w:val="28"/>
          <w:szCs w:val="28"/>
          <w:lang w:val="ru-RU"/>
        </w:rPr>
      </w:pPr>
      <w:r w:rsidRPr="002E0A8E">
        <w:rPr>
          <w:sz w:val="28"/>
          <w:szCs w:val="28"/>
          <w:lang w:val="ru-RU"/>
        </w:rPr>
        <w:t xml:space="preserve">Сегодня привлечение инвестиций в реальный сектор экономики – это вопрос развития производств, снижения вероятности социальных взрывов и фактор реструктуризации хозяйственной системы территории. Любое, даже самое незначительное, повышение инвестиционной привлекательности – это дополнительные средства, позволяющие сделать шаг </w:t>
      </w:r>
      <w:r>
        <w:rPr>
          <w:sz w:val="28"/>
          <w:szCs w:val="28"/>
          <w:lang w:val="ru-RU"/>
        </w:rPr>
        <w:t>на новый уровень</w:t>
      </w:r>
      <w:r w:rsidRPr="002E0A8E">
        <w:rPr>
          <w:sz w:val="28"/>
          <w:szCs w:val="28"/>
          <w:lang w:val="ru-RU"/>
        </w:rPr>
        <w:t>. Но шаг – это еще не решение проблемы. Осуществить задачу экономического развития возможно, лишь управляя процессом повышения инвестиционной привлекательности, стремясь к наиболее полной реализации объективных возможностей территории и условий деятельности предприятий, не боясь отказываться от привычного во имя целесообразного. Именно поэтому вопрос управления инвестиционной привлекательностью – ключевой вопрос текущего момента.</w:t>
      </w:r>
    </w:p>
    <w:p w:rsidR="00316B61" w:rsidRPr="002E0A8E" w:rsidRDefault="00316B61" w:rsidP="002E0A8E">
      <w:pPr>
        <w:widowControl w:val="0"/>
        <w:shd w:val="clear" w:color="auto" w:fill="FFFFFF"/>
        <w:tabs>
          <w:tab w:val="left" w:pos="993"/>
        </w:tabs>
        <w:ind w:firstLine="709"/>
        <w:rPr>
          <w:sz w:val="28"/>
          <w:szCs w:val="28"/>
          <w:lang w:val="ru-RU"/>
        </w:rPr>
      </w:pPr>
      <w:r w:rsidRPr="002E0A8E">
        <w:rPr>
          <w:sz w:val="28"/>
          <w:szCs w:val="28"/>
          <w:lang w:val="ru-RU"/>
        </w:rPr>
        <w:t xml:space="preserve">Что же такое «инвестиционная привлекательность» муниципального образования? </w:t>
      </w:r>
    </w:p>
    <w:p w:rsidR="00316B61" w:rsidRPr="002E0A8E" w:rsidRDefault="00316B61" w:rsidP="002E0A8E">
      <w:pPr>
        <w:widowControl w:val="0"/>
        <w:shd w:val="clear" w:color="auto" w:fill="FFFFFF"/>
        <w:tabs>
          <w:tab w:val="left" w:pos="993"/>
        </w:tabs>
        <w:ind w:firstLine="709"/>
        <w:rPr>
          <w:sz w:val="28"/>
          <w:szCs w:val="28"/>
          <w:lang w:val="ru-RU"/>
        </w:rPr>
      </w:pPr>
      <w:r w:rsidRPr="002E0A8E">
        <w:rPr>
          <w:sz w:val="28"/>
          <w:szCs w:val="28"/>
          <w:lang w:val="ru-RU"/>
        </w:rPr>
        <w:t>Понятие «инвестиционная привлекательность» означает наличие определенных условий инвестирования, которые влияют на предпочтения инвестора в выборе того или иного объекта инвестирования. В качестве основных составляющих инвестиционной привлекательности принято выделять «инвестиционный потенциал», - количественную характеристику инвестиционной привлекательности, и «инвестиционный риск» - ее качественную характеристику. Однако, не стоит забывать и то, что на предпочтения инвестора влияет гораздо более широкий круг факторов (включая культурные и психологические), чем те, что традиционно умещают в рамки «инвестиционного потенциала» и «инвестиционного риска». Поэтому, процесс реализации инвестиционной привлекательности – это творческий, индивидуализированный и, требующий «понимающих» подходов, процесс.</w:t>
      </w:r>
    </w:p>
    <w:p w:rsidR="00316B61" w:rsidRPr="008E1C3C" w:rsidRDefault="00316B61" w:rsidP="002E0A8E">
      <w:pPr>
        <w:widowControl w:val="0"/>
        <w:shd w:val="clear" w:color="auto" w:fill="FFFFFF"/>
        <w:tabs>
          <w:tab w:val="left" w:pos="993"/>
        </w:tabs>
        <w:ind w:firstLine="709"/>
        <w:rPr>
          <w:sz w:val="28"/>
          <w:szCs w:val="28"/>
        </w:rPr>
      </w:pPr>
      <w:r w:rsidRPr="002E0A8E">
        <w:rPr>
          <w:sz w:val="28"/>
          <w:szCs w:val="28"/>
          <w:lang w:val="ru-RU"/>
        </w:rPr>
        <w:t xml:space="preserve">Инвестиционный потенциал муниципалитета характеризуется совокупностью объективных предпосылок для осуществления инвестирования, которые могут быть измерены и выражены в виде количественных показателей. </w:t>
      </w:r>
      <w:r w:rsidRPr="008E1C3C">
        <w:rPr>
          <w:sz w:val="28"/>
          <w:szCs w:val="28"/>
        </w:rPr>
        <w:t>Наиболее</w:t>
      </w:r>
      <w:r>
        <w:rPr>
          <w:sz w:val="28"/>
          <w:szCs w:val="28"/>
        </w:rPr>
        <w:t xml:space="preserve"> </w:t>
      </w:r>
      <w:r w:rsidRPr="008E1C3C">
        <w:rPr>
          <w:sz w:val="28"/>
          <w:szCs w:val="28"/>
        </w:rPr>
        <w:t>значимыми</w:t>
      </w:r>
      <w:r>
        <w:rPr>
          <w:sz w:val="28"/>
          <w:szCs w:val="28"/>
        </w:rPr>
        <w:t xml:space="preserve"> </w:t>
      </w:r>
      <w:r w:rsidRPr="008E1C3C">
        <w:rPr>
          <w:sz w:val="28"/>
          <w:szCs w:val="28"/>
        </w:rPr>
        <w:t>для</w:t>
      </w:r>
      <w:r>
        <w:rPr>
          <w:sz w:val="28"/>
          <w:szCs w:val="28"/>
        </w:rPr>
        <w:t xml:space="preserve"> </w:t>
      </w:r>
      <w:r w:rsidRPr="008E1C3C">
        <w:rPr>
          <w:sz w:val="28"/>
          <w:szCs w:val="28"/>
        </w:rPr>
        <w:t>оценки</w:t>
      </w:r>
      <w:r>
        <w:rPr>
          <w:sz w:val="28"/>
          <w:szCs w:val="28"/>
        </w:rPr>
        <w:t xml:space="preserve"> </w:t>
      </w:r>
      <w:r w:rsidRPr="008E1C3C">
        <w:rPr>
          <w:sz w:val="28"/>
          <w:szCs w:val="28"/>
        </w:rPr>
        <w:t>инвестиционного</w:t>
      </w:r>
      <w:r>
        <w:rPr>
          <w:sz w:val="28"/>
          <w:szCs w:val="28"/>
        </w:rPr>
        <w:t xml:space="preserve"> </w:t>
      </w:r>
      <w:r w:rsidRPr="008E1C3C">
        <w:rPr>
          <w:sz w:val="28"/>
          <w:szCs w:val="28"/>
        </w:rPr>
        <w:t>потенциала</w:t>
      </w:r>
      <w:r>
        <w:rPr>
          <w:sz w:val="28"/>
          <w:szCs w:val="28"/>
        </w:rPr>
        <w:t xml:space="preserve"> </w:t>
      </w:r>
      <w:r w:rsidRPr="008E1C3C">
        <w:rPr>
          <w:sz w:val="28"/>
          <w:szCs w:val="28"/>
        </w:rPr>
        <w:t>признаются</w:t>
      </w:r>
      <w:r>
        <w:rPr>
          <w:sz w:val="28"/>
          <w:szCs w:val="28"/>
        </w:rPr>
        <w:t xml:space="preserve"> </w:t>
      </w:r>
      <w:r w:rsidRPr="008E1C3C">
        <w:rPr>
          <w:sz w:val="28"/>
          <w:szCs w:val="28"/>
        </w:rPr>
        <w:t>следующие</w:t>
      </w:r>
      <w:r>
        <w:rPr>
          <w:sz w:val="28"/>
          <w:szCs w:val="28"/>
        </w:rPr>
        <w:t xml:space="preserve"> </w:t>
      </w:r>
      <w:r w:rsidRPr="008E1C3C">
        <w:rPr>
          <w:sz w:val="28"/>
          <w:szCs w:val="28"/>
        </w:rPr>
        <w:t>факторы:</w:t>
      </w:r>
    </w:p>
    <w:p w:rsidR="00316B61" w:rsidRPr="002E0A8E" w:rsidRDefault="00316B61" w:rsidP="002E0A8E">
      <w:pPr>
        <w:widowControl w:val="0"/>
        <w:numPr>
          <w:ilvl w:val="1"/>
          <w:numId w:val="3"/>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ресурсно-сырьевой потенциал, то есть средневзвешенная обеспеченность балансовыми запасами основных видов природных ресурсов: минерально-сырьевых, земельных, водных, лесосырьевых, рекреационных;</w:t>
      </w:r>
    </w:p>
    <w:p w:rsidR="00316B61" w:rsidRPr="002E0A8E" w:rsidRDefault="00316B61" w:rsidP="002E0A8E">
      <w:pPr>
        <w:widowControl w:val="0"/>
        <w:numPr>
          <w:ilvl w:val="1"/>
          <w:numId w:val="3"/>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производственный потенциал – показатель учитывающий уровень и структуру валового продукта территории, долю убыточных предприятий, уровень производства промышленной продукции на душу населения, долю затрат на воспроизводство основных фондов, иными словами, он отражает совокупный результат хозяйственной деятельности на анализируемой территории;</w:t>
      </w:r>
    </w:p>
    <w:p w:rsidR="00316B61" w:rsidRPr="002E0A8E" w:rsidRDefault="00316B61" w:rsidP="002E0A8E">
      <w:pPr>
        <w:widowControl w:val="0"/>
        <w:numPr>
          <w:ilvl w:val="1"/>
          <w:numId w:val="3"/>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потребительский потенциал – выражает совокупную покупательную. способность населения региона и измеряется денежными доходами в среднем на душу населения, соотношением доходов 10 % наиболее и наименее обеспеченного населения, среднемесячной заработной платой работников в экономике, соотношением среднедушевых денежных доходов к прожиточному минимуму, долей платных услуг в денежных расходах населения;</w:t>
      </w:r>
    </w:p>
    <w:p w:rsidR="00316B61" w:rsidRPr="002E0A8E" w:rsidRDefault="00316B61" w:rsidP="002E0A8E">
      <w:pPr>
        <w:widowControl w:val="0"/>
        <w:numPr>
          <w:ilvl w:val="1"/>
          <w:numId w:val="3"/>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инфраструктурный потенциал – отражает экономико-географическое положение региона и его инфраструктурную обустроенность;</w:t>
      </w:r>
    </w:p>
    <w:p w:rsidR="00316B61" w:rsidRPr="002E0A8E" w:rsidRDefault="00316B61" w:rsidP="002E0A8E">
      <w:pPr>
        <w:widowControl w:val="0"/>
        <w:numPr>
          <w:ilvl w:val="1"/>
          <w:numId w:val="3"/>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интеллектуальный потенциал, который отражает образовательный уровень населения через показатели удельного веса специалистов с высшим и средним образованием на 10 тыс. человек населения, количество высших учебных заведений, количество профессорско-преподавательского состава количество обучающихся в аспирантурах и докторантурах;</w:t>
      </w:r>
    </w:p>
    <w:p w:rsidR="00316B61" w:rsidRPr="002E0A8E" w:rsidRDefault="00316B61" w:rsidP="002E0A8E">
      <w:pPr>
        <w:widowControl w:val="0"/>
        <w:numPr>
          <w:ilvl w:val="1"/>
          <w:numId w:val="3"/>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институциональный потенциал – отражает степень развития ведущих институтов рыночной экономики и выражается через количество кредитных организаций, их совокупный уставной капитал, величину долей государственных, частных и смешанных предприятий;</w:t>
      </w:r>
    </w:p>
    <w:p w:rsidR="00316B61" w:rsidRPr="002E0A8E" w:rsidRDefault="00316B61" w:rsidP="002E0A8E">
      <w:pPr>
        <w:widowControl w:val="0"/>
        <w:numPr>
          <w:ilvl w:val="1"/>
          <w:numId w:val="3"/>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 xml:space="preserve">инновационный потенциал – выражается в показателях количества академических научных учреждений, количество разработанных и внедренных инновационных проектов. </w:t>
      </w:r>
    </w:p>
    <w:p w:rsidR="00316B61" w:rsidRPr="002E0A8E" w:rsidRDefault="00316B61" w:rsidP="002E0A8E">
      <w:pPr>
        <w:widowControl w:val="0"/>
        <w:numPr>
          <w:ilvl w:val="1"/>
          <w:numId w:val="3"/>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трудовой потенциал – выражается через показатели численности трудоспособного населения, численность экономически активного населения, уровень безработицы, естественный прирост на 1000 жителей, средней продолжительности жизни населения, уровень миграции населения;</w:t>
      </w:r>
    </w:p>
    <w:p w:rsidR="00316B61" w:rsidRPr="002E0A8E" w:rsidRDefault="00316B61" w:rsidP="002E0A8E">
      <w:pPr>
        <w:widowControl w:val="0"/>
        <w:numPr>
          <w:ilvl w:val="1"/>
          <w:numId w:val="3"/>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 xml:space="preserve">финансовый потенциал территории, характеризуется прибыльностью предприятий, объемом налоговой базы, доходностью бюджета территории. </w:t>
      </w:r>
    </w:p>
    <w:p w:rsidR="00316B61" w:rsidRPr="002E0A8E" w:rsidRDefault="00316B61" w:rsidP="002E0A8E">
      <w:pPr>
        <w:widowControl w:val="0"/>
        <w:shd w:val="clear" w:color="auto" w:fill="FFFFFF"/>
        <w:tabs>
          <w:tab w:val="left" w:pos="993"/>
        </w:tabs>
        <w:rPr>
          <w:sz w:val="28"/>
          <w:szCs w:val="28"/>
          <w:lang w:val="ru-RU"/>
        </w:rPr>
      </w:pPr>
    </w:p>
    <w:p w:rsidR="00316B61" w:rsidRPr="002E0A8E" w:rsidRDefault="00316B61" w:rsidP="002E0A8E">
      <w:pPr>
        <w:widowControl w:val="0"/>
        <w:shd w:val="clear" w:color="auto" w:fill="FFFFFF"/>
        <w:tabs>
          <w:tab w:val="left" w:pos="993"/>
        </w:tabs>
        <w:rPr>
          <w:sz w:val="28"/>
          <w:szCs w:val="28"/>
          <w:lang w:val="ru-RU"/>
        </w:rPr>
      </w:pPr>
    </w:p>
    <w:p w:rsidR="00316B61" w:rsidRPr="002E0A8E" w:rsidRDefault="00316B61" w:rsidP="00AA35FE">
      <w:pPr>
        <w:widowControl w:val="0"/>
        <w:shd w:val="clear" w:color="auto" w:fill="FFFFFF"/>
        <w:tabs>
          <w:tab w:val="left" w:pos="993"/>
        </w:tabs>
        <w:ind w:firstLine="0"/>
        <w:rPr>
          <w:sz w:val="28"/>
          <w:szCs w:val="28"/>
          <w:lang w:val="ru-RU"/>
        </w:rPr>
      </w:pPr>
    </w:p>
    <w:p w:rsidR="00316B61" w:rsidRPr="002E0A8E" w:rsidRDefault="00316B61" w:rsidP="002E0A8E">
      <w:pPr>
        <w:widowControl w:val="0"/>
        <w:shd w:val="clear" w:color="auto" w:fill="FFFFFF"/>
        <w:tabs>
          <w:tab w:val="left" w:pos="993"/>
        </w:tabs>
        <w:jc w:val="center"/>
        <w:rPr>
          <w:b/>
          <w:sz w:val="28"/>
          <w:szCs w:val="28"/>
          <w:lang w:val="ru-RU"/>
        </w:rPr>
      </w:pPr>
      <w:r w:rsidRPr="002E0A8E">
        <w:rPr>
          <w:b/>
          <w:sz w:val="28"/>
          <w:szCs w:val="28"/>
          <w:lang w:val="ru-RU"/>
        </w:rPr>
        <w:t>1.2 Инвестиционный риск</w:t>
      </w:r>
    </w:p>
    <w:p w:rsidR="00316B61" w:rsidRPr="002E0A8E" w:rsidRDefault="00316B61" w:rsidP="002E0A8E">
      <w:pPr>
        <w:widowControl w:val="0"/>
        <w:shd w:val="clear" w:color="auto" w:fill="FFFFFF"/>
        <w:tabs>
          <w:tab w:val="left" w:pos="993"/>
        </w:tabs>
        <w:rPr>
          <w:sz w:val="28"/>
          <w:szCs w:val="28"/>
          <w:lang w:val="ru-RU"/>
        </w:rPr>
      </w:pPr>
      <w:r w:rsidRPr="002E0A8E">
        <w:rPr>
          <w:sz w:val="28"/>
          <w:szCs w:val="28"/>
          <w:lang w:val="ru-RU"/>
        </w:rPr>
        <w:t xml:space="preserve">         </w:t>
      </w:r>
    </w:p>
    <w:p w:rsidR="00316B61" w:rsidRPr="008E1C3C" w:rsidRDefault="00316B61" w:rsidP="002E0A8E">
      <w:pPr>
        <w:widowControl w:val="0"/>
        <w:shd w:val="clear" w:color="auto" w:fill="FFFFFF"/>
        <w:tabs>
          <w:tab w:val="left" w:pos="993"/>
        </w:tabs>
        <w:rPr>
          <w:sz w:val="28"/>
          <w:szCs w:val="28"/>
        </w:rPr>
      </w:pPr>
      <w:r w:rsidRPr="002E0A8E">
        <w:rPr>
          <w:sz w:val="28"/>
          <w:szCs w:val="28"/>
          <w:lang w:val="ru-RU"/>
        </w:rPr>
        <w:t xml:space="preserve">        Другая составляющая инвестиционной привлекательности, понятие «инвестиционный риск», отражает целесообразность осуществления капиталовложений на данной территории, вероятность потери инвестиций или дохода от них. В отличие от факторов инвестиционного потенциала, инвестиционный риск – более динамичная характеристика, способная измениться в сравнительно короткий промежуток времени. </w:t>
      </w:r>
      <w:r w:rsidRPr="008E1C3C">
        <w:rPr>
          <w:sz w:val="28"/>
          <w:szCs w:val="28"/>
        </w:rPr>
        <w:t>В</w:t>
      </w:r>
      <w:r>
        <w:rPr>
          <w:sz w:val="28"/>
          <w:szCs w:val="28"/>
        </w:rPr>
        <w:t xml:space="preserve"> </w:t>
      </w:r>
      <w:r w:rsidRPr="008E1C3C">
        <w:rPr>
          <w:sz w:val="28"/>
          <w:szCs w:val="28"/>
        </w:rPr>
        <w:t>рамках</w:t>
      </w:r>
      <w:r>
        <w:rPr>
          <w:sz w:val="28"/>
          <w:szCs w:val="28"/>
        </w:rPr>
        <w:t xml:space="preserve"> </w:t>
      </w:r>
      <w:r w:rsidRPr="008E1C3C">
        <w:rPr>
          <w:sz w:val="28"/>
          <w:szCs w:val="28"/>
        </w:rPr>
        <w:t>понятия</w:t>
      </w:r>
      <w:r>
        <w:rPr>
          <w:sz w:val="28"/>
          <w:szCs w:val="28"/>
        </w:rPr>
        <w:t xml:space="preserve"> </w:t>
      </w:r>
      <w:r w:rsidRPr="008E1C3C">
        <w:rPr>
          <w:sz w:val="28"/>
          <w:szCs w:val="28"/>
        </w:rPr>
        <w:t>«инвестиционный</w:t>
      </w:r>
      <w:r>
        <w:rPr>
          <w:sz w:val="28"/>
          <w:szCs w:val="28"/>
        </w:rPr>
        <w:t xml:space="preserve"> </w:t>
      </w:r>
      <w:r w:rsidRPr="008E1C3C">
        <w:rPr>
          <w:sz w:val="28"/>
          <w:szCs w:val="28"/>
        </w:rPr>
        <w:t>риск»</w:t>
      </w:r>
      <w:r>
        <w:rPr>
          <w:sz w:val="28"/>
          <w:szCs w:val="28"/>
        </w:rPr>
        <w:t xml:space="preserve"> </w:t>
      </w:r>
      <w:r w:rsidRPr="008E1C3C">
        <w:rPr>
          <w:sz w:val="28"/>
          <w:szCs w:val="28"/>
        </w:rPr>
        <w:t>выделяются</w:t>
      </w:r>
      <w:r>
        <w:rPr>
          <w:sz w:val="28"/>
          <w:szCs w:val="28"/>
        </w:rPr>
        <w:t xml:space="preserve"> </w:t>
      </w:r>
      <w:r w:rsidRPr="008E1C3C">
        <w:rPr>
          <w:sz w:val="28"/>
          <w:szCs w:val="28"/>
        </w:rPr>
        <w:t>следующие</w:t>
      </w:r>
      <w:r>
        <w:rPr>
          <w:sz w:val="28"/>
          <w:szCs w:val="28"/>
        </w:rPr>
        <w:t xml:space="preserve"> </w:t>
      </w:r>
      <w:r w:rsidRPr="008E1C3C">
        <w:rPr>
          <w:sz w:val="28"/>
          <w:szCs w:val="28"/>
        </w:rPr>
        <w:t>составляющие:</w:t>
      </w:r>
    </w:p>
    <w:p w:rsidR="00316B61" w:rsidRPr="002E0A8E" w:rsidRDefault="00316B61" w:rsidP="002E0A8E">
      <w:pPr>
        <w:widowControl w:val="0"/>
        <w:numPr>
          <w:ilvl w:val="1"/>
          <w:numId w:val="3"/>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экономический риск – показатель, отражающий тенденции в экономическом развитии региона;</w:t>
      </w:r>
    </w:p>
    <w:p w:rsidR="00316B61" w:rsidRPr="002E0A8E" w:rsidRDefault="00316B61" w:rsidP="002E0A8E">
      <w:pPr>
        <w:widowControl w:val="0"/>
        <w:numPr>
          <w:ilvl w:val="1"/>
          <w:numId w:val="3"/>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политический риск – представляющий тенденции политической жизни территории;</w:t>
      </w:r>
    </w:p>
    <w:p w:rsidR="00316B61" w:rsidRPr="002E0A8E" w:rsidRDefault="00316B61" w:rsidP="002E0A8E">
      <w:pPr>
        <w:widowControl w:val="0"/>
        <w:numPr>
          <w:ilvl w:val="1"/>
          <w:numId w:val="3"/>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социальный риск – отражающий уровень социальной напряженности;</w:t>
      </w:r>
    </w:p>
    <w:p w:rsidR="00316B61" w:rsidRPr="002E0A8E" w:rsidRDefault="00316B61" w:rsidP="002E0A8E">
      <w:pPr>
        <w:widowControl w:val="0"/>
        <w:numPr>
          <w:ilvl w:val="1"/>
          <w:numId w:val="3"/>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экологический риск – связан с уровнем загрязнения окружающей среды;</w:t>
      </w:r>
    </w:p>
    <w:p w:rsidR="00316B61" w:rsidRPr="002E0A8E" w:rsidRDefault="00316B61" w:rsidP="002E0A8E">
      <w:pPr>
        <w:widowControl w:val="0"/>
        <w:numPr>
          <w:ilvl w:val="1"/>
          <w:numId w:val="3"/>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криминальный риск – отражает уровень преступности в регионе с учетом тяжести совершаемых преступлений.</w:t>
      </w:r>
    </w:p>
    <w:p w:rsidR="00316B61" w:rsidRPr="002E0A8E" w:rsidRDefault="00316B61" w:rsidP="002E0A8E">
      <w:pPr>
        <w:widowControl w:val="0"/>
        <w:shd w:val="clear" w:color="auto" w:fill="FFFFFF"/>
        <w:tabs>
          <w:tab w:val="left" w:pos="993"/>
        </w:tabs>
        <w:ind w:firstLine="709"/>
        <w:rPr>
          <w:sz w:val="28"/>
          <w:szCs w:val="28"/>
          <w:lang w:val="ru-RU"/>
        </w:rPr>
      </w:pPr>
      <w:r w:rsidRPr="002E0A8E">
        <w:rPr>
          <w:sz w:val="28"/>
          <w:szCs w:val="28"/>
          <w:lang w:val="ru-RU"/>
        </w:rPr>
        <w:t>Инвестиционный риск в отдельном регионе или на отдельной территории является составной частью, используемого в международной практике понятия «кантри-риска», являющегося обобщенной характеристикой данной страны в целом, как делового партнера с учетом различных политических и экономических факторов. «Кантри-риск» отражает вероятность нежелательного развития сделок с предпринимателями и предприятиями данной страны, когда становится трудным или невозможным не только получение первоначально планируемых выгод, но и само выполнение сделки и возврат вложенного капитала. Таким образом, инвестиционный риск территории органически связан с показателем «кантри-риска».</w:t>
      </w:r>
    </w:p>
    <w:p w:rsidR="00316B61" w:rsidRPr="002E0A8E" w:rsidRDefault="00316B61" w:rsidP="002E0A8E">
      <w:pPr>
        <w:widowControl w:val="0"/>
        <w:shd w:val="clear" w:color="auto" w:fill="FFFFFF"/>
        <w:tabs>
          <w:tab w:val="left" w:pos="993"/>
        </w:tabs>
        <w:ind w:firstLine="709"/>
        <w:rPr>
          <w:sz w:val="28"/>
          <w:szCs w:val="28"/>
          <w:lang w:val="ru-RU"/>
        </w:rPr>
      </w:pPr>
      <w:r w:rsidRPr="002E0A8E">
        <w:rPr>
          <w:sz w:val="28"/>
          <w:szCs w:val="28"/>
          <w:lang w:val="ru-RU"/>
        </w:rPr>
        <w:t xml:space="preserve">Традиционно понятие </w:t>
      </w:r>
      <w:r w:rsidRPr="002E0A8E">
        <w:rPr>
          <w:iCs/>
          <w:sz w:val="28"/>
          <w:szCs w:val="28"/>
          <w:lang w:val="ru-RU"/>
        </w:rPr>
        <w:t>инвестиционная привлекательность</w:t>
      </w:r>
      <w:r w:rsidRPr="002E0A8E">
        <w:rPr>
          <w:sz w:val="28"/>
          <w:szCs w:val="28"/>
          <w:lang w:val="ru-RU"/>
        </w:rPr>
        <w:t xml:space="preserve"> связывают с </w:t>
      </w:r>
      <w:r w:rsidRPr="002E0A8E">
        <w:rPr>
          <w:bCs/>
          <w:sz w:val="28"/>
          <w:szCs w:val="28"/>
          <w:lang w:val="ru-RU"/>
        </w:rPr>
        <w:t>предпочтениями</w:t>
      </w:r>
      <w:r w:rsidRPr="002E0A8E">
        <w:rPr>
          <w:sz w:val="28"/>
          <w:szCs w:val="28"/>
          <w:lang w:val="ru-RU"/>
        </w:rPr>
        <w:t xml:space="preserve"> инвестора в выборе того или иного объекта инвестирования. Согласно выводам экспертов, наиболее привлекательными для выбора региона для инвесторов являются факторы, накопленные в процессе </w:t>
      </w:r>
      <w:r w:rsidRPr="002E0A8E">
        <w:rPr>
          <w:bCs/>
          <w:iCs/>
          <w:sz w:val="28"/>
          <w:szCs w:val="28"/>
          <w:lang w:val="ru-RU"/>
        </w:rPr>
        <w:t>многолетней</w:t>
      </w:r>
      <w:r w:rsidRPr="002E0A8E">
        <w:rPr>
          <w:sz w:val="28"/>
          <w:szCs w:val="28"/>
          <w:lang w:val="ru-RU"/>
        </w:rPr>
        <w:t xml:space="preserve"> хозяйственной деятельности: инфраструктурная освоенность территории, инновационный потенциал и интеллектуальный потенциал населения. Повысить инвестиционную привлекательность могло бы изменение законодательства в части предоставления налоговых льгот инвесторам, но это, в любом случае, разовое мероприятие, которое лишь снизит «планку», но не решит проблему.</w:t>
      </w:r>
    </w:p>
    <w:p w:rsidR="00316B61" w:rsidRPr="002E0A8E" w:rsidRDefault="00316B61" w:rsidP="002E0A8E">
      <w:pPr>
        <w:widowControl w:val="0"/>
        <w:shd w:val="clear" w:color="auto" w:fill="FFFFFF"/>
        <w:tabs>
          <w:tab w:val="left" w:pos="993"/>
        </w:tabs>
        <w:ind w:firstLine="709"/>
        <w:rPr>
          <w:sz w:val="28"/>
          <w:szCs w:val="28"/>
          <w:lang w:val="ru-RU"/>
        </w:rPr>
      </w:pPr>
      <w:r w:rsidRPr="002E0A8E">
        <w:rPr>
          <w:sz w:val="28"/>
          <w:szCs w:val="28"/>
          <w:lang w:val="ru-RU"/>
        </w:rPr>
        <w:t xml:space="preserve">Из этого следует неутешительный вывод: традиционные возможности оперативного изменения инвестиционной привлекательности весьма ограничены. Того </w:t>
      </w:r>
      <w:r w:rsidRPr="002E0A8E">
        <w:rPr>
          <w:iCs/>
          <w:sz w:val="28"/>
          <w:szCs w:val="28"/>
          <w:lang w:val="ru-RU"/>
        </w:rPr>
        <w:t>повышения</w:t>
      </w:r>
      <w:r w:rsidRPr="002E0A8E">
        <w:rPr>
          <w:sz w:val="28"/>
          <w:szCs w:val="28"/>
          <w:lang w:val="ru-RU"/>
        </w:rPr>
        <w:t xml:space="preserve"> инвестиционной привлекательности, которое они могут обеспечить, совершенно недостаточно для изменения сложившихся негативных тенденций. Другими словами, существующие сегодня представления не позволяют обеспечить привлечение необходимого для экономики потока инвестиций.</w:t>
      </w:r>
    </w:p>
    <w:p w:rsidR="00316B61" w:rsidRPr="002E0A8E" w:rsidRDefault="00316B61" w:rsidP="002E0A8E">
      <w:pPr>
        <w:widowControl w:val="0"/>
        <w:shd w:val="clear" w:color="auto" w:fill="FFFFFF"/>
        <w:tabs>
          <w:tab w:val="left" w:pos="993"/>
        </w:tabs>
        <w:ind w:firstLine="709"/>
        <w:rPr>
          <w:sz w:val="28"/>
          <w:szCs w:val="28"/>
          <w:lang w:val="ru-RU"/>
        </w:rPr>
      </w:pPr>
      <w:r w:rsidRPr="002E0A8E">
        <w:rPr>
          <w:sz w:val="28"/>
          <w:szCs w:val="28"/>
          <w:lang w:val="ru-RU"/>
        </w:rPr>
        <w:t>В настоящее время существует несколько подходов к определению инвестиционной привлекательности территории:</w:t>
      </w:r>
    </w:p>
    <w:p w:rsidR="00316B61" w:rsidRPr="002E0A8E" w:rsidRDefault="00316B61" w:rsidP="002E0A8E">
      <w:pPr>
        <w:widowControl w:val="0"/>
        <w:numPr>
          <w:ilvl w:val="1"/>
          <w:numId w:val="4"/>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сопоставление величин реальных и нормативных капиталовложений;</w:t>
      </w:r>
    </w:p>
    <w:p w:rsidR="00316B61" w:rsidRPr="002E0A8E" w:rsidRDefault="00316B61" w:rsidP="002E0A8E">
      <w:pPr>
        <w:widowControl w:val="0"/>
        <w:numPr>
          <w:ilvl w:val="1"/>
          <w:numId w:val="4"/>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расчет простого индекса инвестиционной привлекательности по отношению реальных и нормативных капиталовложений;</w:t>
      </w:r>
    </w:p>
    <w:p w:rsidR="00316B61" w:rsidRPr="002E0A8E" w:rsidRDefault="00316B61" w:rsidP="002E0A8E">
      <w:pPr>
        <w:widowControl w:val="0"/>
        <w:numPr>
          <w:ilvl w:val="1"/>
          <w:numId w:val="4"/>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расчет расширенного индекса инвестиционной привлекательности, который определяется как среднее геометрическое индексов инвестиционной привлекательности и объема капиталовложений.</w:t>
      </w:r>
    </w:p>
    <w:p w:rsidR="00316B61" w:rsidRPr="002E0A8E" w:rsidRDefault="00316B61" w:rsidP="002E0A8E">
      <w:pPr>
        <w:widowControl w:val="0"/>
        <w:shd w:val="clear" w:color="auto" w:fill="FFFFFF"/>
        <w:tabs>
          <w:tab w:val="left" w:pos="993"/>
        </w:tabs>
        <w:ind w:firstLine="709"/>
        <w:rPr>
          <w:sz w:val="28"/>
          <w:szCs w:val="28"/>
          <w:lang w:val="ru-RU"/>
        </w:rPr>
      </w:pPr>
      <w:r w:rsidRPr="002E0A8E">
        <w:rPr>
          <w:sz w:val="28"/>
          <w:szCs w:val="28"/>
          <w:lang w:val="ru-RU"/>
        </w:rPr>
        <w:t xml:space="preserve">В нашей стране и за рубежом многие организации занимаются расчетами инвестиционной привлекательности тех или иных стран и регионов. Распределение регионов по интегральному рейтингу инвестиционной привлекательности, предоставленное этими организациями, дают инвестору пищу для предварительных размышлений при выборе региона для приумножения своего капитала. При этом наиболее привлекательными оказываются регионы и территории с высоким инвестиционным потенциалом и низким фактором риска. </w:t>
      </w:r>
    </w:p>
    <w:p w:rsidR="00316B61" w:rsidRPr="002E0A8E" w:rsidRDefault="00316B61" w:rsidP="002E0A8E">
      <w:pPr>
        <w:widowControl w:val="0"/>
        <w:shd w:val="clear" w:color="auto" w:fill="FFFFFF"/>
        <w:tabs>
          <w:tab w:val="left" w:pos="993"/>
        </w:tabs>
        <w:ind w:firstLine="709"/>
        <w:rPr>
          <w:sz w:val="28"/>
          <w:szCs w:val="28"/>
          <w:lang w:val="ru-RU"/>
        </w:rPr>
      </w:pPr>
      <w:r w:rsidRPr="002E0A8E">
        <w:rPr>
          <w:sz w:val="28"/>
          <w:szCs w:val="28"/>
          <w:lang w:val="ru-RU"/>
        </w:rPr>
        <w:t>Эти районы характеризуются накопленной в процессе многолетней хозяйственной деятельности инфраструктурной освоенностью территории, высоким инновационным и интеллектуальным потенциалом населения, сравнительно высокой диверсификацией отраслей экономики, авторитетной властью. Непривлекательными в инвестиционном плане являются районы с низким потенциалом и высоким риском. Но и они, несмотря на то, что не могут претендовать на высокое место в интегральном рейтинге, могут рассчитывать на интерес инвесторов, ориентированных на инвестиции в узкую сферу, например, в уже действующую добывающую промышленность или, пришедших на высоко рискованную территорию, ради получения сверхприбылей.</w:t>
      </w:r>
    </w:p>
    <w:p w:rsidR="00316B61" w:rsidRPr="002E0A8E" w:rsidRDefault="00316B61" w:rsidP="002E0A8E">
      <w:pPr>
        <w:widowControl w:val="0"/>
        <w:shd w:val="clear" w:color="auto" w:fill="FFFFFF"/>
        <w:tabs>
          <w:tab w:val="left" w:pos="993"/>
        </w:tabs>
        <w:ind w:firstLine="709"/>
        <w:rPr>
          <w:sz w:val="28"/>
          <w:szCs w:val="28"/>
          <w:lang w:val="ru-RU"/>
        </w:rPr>
      </w:pPr>
      <w:r w:rsidRPr="002E0A8E">
        <w:rPr>
          <w:sz w:val="28"/>
          <w:szCs w:val="28"/>
          <w:lang w:val="ru-RU"/>
        </w:rPr>
        <w:t>Анализ связи между инвестиционным потенциалом и инвестиционным риском в условиях России, свидетельствует о диалектическом соотношении этих факторов. Так, регионы с наименьшим риском, как правило обладают наибольшими потенциалами и наоборот. Увеличение рейтинга инвестиционных рисков по мере снижения рейтинга интегрального потенциала – это довольно общая для российских регионов тенденция. Наиболее сильно она выражена для экономического и криминального рисков, в наименьшей степени для социального и политического рисков. Еще одной закономерностью является то, что экономическая интеграция российских регионов между собой усиливает их инвестиционный потенциал.</w:t>
      </w:r>
    </w:p>
    <w:p w:rsidR="00316B61" w:rsidRPr="002E0A8E" w:rsidRDefault="00316B61" w:rsidP="002E0A8E">
      <w:pPr>
        <w:widowControl w:val="0"/>
        <w:shd w:val="clear" w:color="auto" w:fill="FFFFFF"/>
        <w:tabs>
          <w:tab w:val="left" w:pos="993"/>
        </w:tabs>
        <w:ind w:firstLine="709"/>
        <w:rPr>
          <w:sz w:val="28"/>
          <w:szCs w:val="28"/>
          <w:lang w:val="ru-RU"/>
        </w:rPr>
      </w:pPr>
      <w:r w:rsidRPr="002E0A8E">
        <w:rPr>
          <w:sz w:val="28"/>
          <w:szCs w:val="28"/>
          <w:lang w:val="ru-RU"/>
        </w:rPr>
        <w:t xml:space="preserve">Еще одним показателем соотношения риска и потенциала являются личные вклады населения: оказывается, что чем выше экономический потенциал группы регионов и чем ниже инвестиционный риск, тем больше и абсолютные, и душевые размеры вкладов населения. Это показывает, что высокий инвестиционный риск чутко ощущается населением, опасающимся делать вклады в собственных инвестиционно непривлекательных регионах.          Удельный вес накопленных капитальных вложений и иностранных инвестиций демонстрирует тенденцию к снижению по мере снижения инвестиционного потенциала региона. При этом отмечается, что иностранные инвестиции в большей мере согласуются с уровнем инвестиционного риска, в то время как российские следуют за инвестиционным потенциалом. </w:t>
      </w:r>
    </w:p>
    <w:p w:rsidR="00316B61" w:rsidRPr="002E0A8E" w:rsidRDefault="00316B61" w:rsidP="002E0A8E">
      <w:pPr>
        <w:widowControl w:val="0"/>
        <w:shd w:val="clear" w:color="auto" w:fill="FFFFFF"/>
        <w:tabs>
          <w:tab w:val="left" w:pos="993"/>
        </w:tabs>
        <w:ind w:firstLine="709"/>
        <w:rPr>
          <w:sz w:val="28"/>
          <w:szCs w:val="28"/>
          <w:lang w:val="ru-RU"/>
        </w:rPr>
      </w:pPr>
      <w:r w:rsidRPr="002E0A8E">
        <w:rPr>
          <w:sz w:val="28"/>
          <w:szCs w:val="28"/>
          <w:lang w:val="ru-RU"/>
        </w:rPr>
        <w:t>В итоге регион станет привлекательным для массового инвестора только тогда, когда органы управления сделают своей приоритетной задачей изменение таких ключевых свойств экономики, как прозрачность деятельности, целенаправленность распределения ресурсов и надежность системы управления, а так же собственными действиями добьется того, что распространение этих свойств по объектам реального сектора экономики станет устойчивой тенденцией.</w:t>
      </w:r>
    </w:p>
    <w:p w:rsidR="00316B61" w:rsidRPr="002E0A8E" w:rsidRDefault="00316B61" w:rsidP="002E0A8E">
      <w:pPr>
        <w:widowControl w:val="0"/>
        <w:shd w:val="clear" w:color="auto" w:fill="FFFFFF"/>
        <w:tabs>
          <w:tab w:val="left" w:pos="993"/>
        </w:tabs>
        <w:ind w:firstLine="709"/>
        <w:rPr>
          <w:sz w:val="28"/>
          <w:szCs w:val="28"/>
          <w:lang w:val="ru-RU"/>
        </w:rPr>
      </w:pPr>
      <w:r w:rsidRPr="002E0A8E">
        <w:rPr>
          <w:sz w:val="28"/>
          <w:szCs w:val="28"/>
          <w:lang w:val="ru-RU"/>
        </w:rPr>
        <w:t>Политика реализации инвестиционной привлекательности территории осуществляется исходя из реалий баланса факторов, сосредоточенных в сфере политики и экономики, однако можно выделить наиболее общепринятые действия:</w:t>
      </w:r>
    </w:p>
    <w:p w:rsidR="00316B61" w:rsidRPr="008E1C3C" w:rsidRDefault="00316B61" w:rsidP="002E0A8E">
      <w:pPr>
        <w:widowControl w:val="0"/>
        <w:numPr>
          <w:ilvl w:val="1"/>
          <w:numId w:val="5"/>
        </w:numPr>
        <w:shd w:val="clear" w:color="auto" w:fill="FFFFFF"/>
        <w:tabs>
          <w:tab w:val="clear" w:pos="1440"/>
          <w:tab w:val="left" w:pos="993"/>
          <w:tab w:val="num" w:pos="1260"/>
        </w:tabs>
        <w:overflowPunct/>
        <w:autoSpaceDE/>
        <w:autoSpaceDN/>
        <w:adjustRightInd/>
        <w:ind w:left="0" w:firstLine="709"/>
        <w:textAlignment w:val="auto"/>
        <w:rPr>
          <w:sz w:val="28"/>
          <w:szCs w:val="28"/>
        </w:rPr>
      </w:pPr>
      <w:r w:rsidRPr="008E1C3C">
        <w:rPr>
          <w:sz w:val="28"/>
          <w:szCs w:val="28"/>
        </w:rPr>
        <w:t>развитие</w:t>
      </w:r>
      <w:r>
        <w:rPr>
          <w:sz w:val="28"/>
          <w:szCs w:val="28"/>
        </w:rPr>
        <w:t xml:space="preserve"> </w:t>
      </w:r>
      <w:r w:rsidRPr="008E1C3C">
        <w:rPr>
          <w:sz w:val="28"/>
          <w:szCs w:val="28"/>
        </w:rPr>
        <w:t>регионального</w:t>
      </w:r>
      <w:r>
        <w:rPr>
          <w:sz w:val="28"/>
          <w:szCs w:val="28"/>
        </w:rPr>
        <w:t xml:space="preserve"> </w:t>
      </w:r>
      <w:r w:rsidRPr="008E1C3C">
        <w:rPr>
          <w:sz w:val="28"/>
          <w:szCs w:val="28"/>
        </w:rPr>
        <w:t>инвестиционного</w:t>
      </w:r>
      <w:r>
        <w:rPr>
          <w:sz w:val="28"/>
          <w:szCs w:val="28"/>
        </w:rPr>
        <w:t xml:space="preserve"> </w:t>
      </w:r>
      <w:r w:rsidRPr="008E1C3C">
        <w:rPr>
          <w:sz w:val="28"/>
          <w:szCs w:val="28"/>
        </w:rPr>
        <w:t>законодательства;</w:t>
      </w:r>
    </w:p>
    <w:p w:rsidR="00316B61" w:rsidRPr="002E0A8E" w:rsidRDefault="00316B61" w:rsidP="002E0A8E">
      <w:pPr>
        <w:widowControl w:val="0"/>
        <w:numPr>
          <w:ilvl w:val="1"/>
          <w:numId w:val="5"/>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поддержка инвестиций со стороны местных властей путем предоставления гарантий и льгот;</w:t>
      </w:r>
    </w:p>
    <w:p w:rsidR="00316B61" w:rsidRPr="002E0A8E" w:rsidRDefault="00316B61" w:rsidP="002E0A8E">
      <w:pPr>
        <w:widowControl w:val="0"/>
        <w:numPr>
          <w:ilvl w:val="1"/>
          <w:numId w:val="5"/>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формирование инвестиционной открытости и привлекательности территории, ее инвестиционного имиджа;</w:t>
      </w:r>
    </w:p>
    <w:p w:rsidR="00316B61" w:rsidRPr="002E0A8E" w:rsidRDefault="00316B61" w:rsidP="002E0A8E">
      <w:pPr>
        <w:widowControl w:val="0"/>
        <w:numPr>
          <w:ilvl w:val="1"/>
          <w:numId w:val="5"/>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проведение активной деятельности по привлечению иностранных инвестиций;</w:t>
      </w:r>
    </w:p>
    <w:p w:rsidR="00316B61" w:rsidRPr="002E0A8E" w:rsidRDefault="00316B61" w:rsidP="002E0A8E">
      <w:pPr>
        <w:widowControl w:val="0"/>
        <w:numPr>
          <w:ilvl w:val="1"/>
          <w:numId w:val="5"/>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формирование инвестиционной инфраструктуры (залоговые фонды, перестраховочные компании, развиваются бизнес-центры и т.д.);</w:t>
      </w:r>
    </w:p>
    <w:p w:rsidR="00316B61" w:rsidRPr="002E0A8E" w:rsidRDefault="00316B61" w:rsidP="002E0A8E">
      <w:pPr>
        <w:widowControl w:val="0"/>
        <w:numPr>
          <w:ilvl w:val="1"/>
          <w:numId w:val="5"/>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разработка системы взаимоувязанных экономических, организационных и правовых мер, направленных на создание привлекательного инвестиционного климата территории и оживление инвестиционной активности;</w:t>
      </w:r>
    </w:p>
    <w:p w:rsidR="00316B61" w:rsidRPr="002E0A8E" w:rsidRDefault="00316B61" w:rsidP="002E0A8E">
      <w:pPr>
        <w:widowControl w:val="0"/>
        <w:numPr>
          <w:ilvl w:val="1"/>
          <w:numId w:val="5"/>
        </w:numPr>
        <w:shd w:val="clear" w:color="auto" w:fill="FFFFFF"/>
        <w:tabs>
          <w:tab w:val="clear" w:pos="1440"/>
          <w:tab w:val="left" w:pos="993"/>
          <w:tab w:val="num" w:pos="1260"/>
        </w:tabs>
        <w:overflowPunct/>
        <w:autoSpaceDE/>
        <w:autoSpaceDN/>
        <w:adjustRightInd/>
        <w:ind w:left="0" w:firstLine="709"/>
        <w:textAlignment w:val="auto"/>
        <w:rPr>
          <w:sz w:val="28"/>
          <w:szCs w:val="28"/>
          <w:lang w:val="ru-RU"/>
        </w:rPr>
      </w:pPr>
      <w:r w:rsidRPr="002E0A8E">
        <w:rPr>
          <w:sz w:val="28"/>
          <w:szCs w:val="28"/>
          <w:lang w:val="ru-RU"/>
        </w:rPr>
        <w:t>создание инвестиционных пакетов, то есть наборов инвестиционных проектов, способных привести к разрешению конкретной проблемы территории с программой распределения экономических, технических, финансовых ресурсов и рисков между исполнителями по временным интервалам (срокам капиталовложений и срокам окупаемости).</w:t>
      </w:r>
    </w:p>
    <w:p w:rsidR="00316B61" w:rsidRPr="002E0A8E" w:rsidRDefault="00316B61" w:rsidP="002E0A8E">
      <w:pPr>
        <w:widowControl w:val="0"/>
        <w:shd w:val="clear" w:color="auto" w:fill="FFFFFF"/>
        <w:tabs>
          <w:tab w:val="left" w:pos="993"/>
        </w:tabs>
        <w:ind w:firstLine="709"/>
        <w:rPr>
          <w:sz w:val="28"/>
          <w:szCs w:val="28"/>
          <w:lang w:val="ru-RU"/>
        </w:rPr>
      </w:pPr>
      <w:r w:rsidRPr="002E0A8E">
        <w:rPr>
          <w:sz w:val="28"/>
          <w:szCs w:val="28"/>
          <w:lang w:val="ru-RU"/>
        </w:rPr>
        <w:t xml:space="preserve">В целом, работа по реализации инвестиционной привлекательности территории неотрывна от инвестиционной политики государства и субъекта федерации, и призвана дополнять и углублять ее всеми возможными путями. </w:t>
      </w:r>
    </w:p>
    <w:p w:rsidR="00316B61" w:rsidRPr="002E0A8E" w:rsidRDefault="00316B61" w:rsidP="002E0A8E">
      <w:pPr>
        <w:widowControl w:val="0"/>
        <w:shd w:val="clear" w:color="auto" w:fill="FFFFFF"/>
        <w:tabs>
          <w:tab w:val="left" w:pos="993"/>
        </w:tabs>
        <w:ind w:firstLine="709"/>
        <w:rPr>
          <w:sz w:val="28"/>
          <w:szCs w:val="28"/>
          <w:lang w:val="ru-RU"/>
        </w:rPr>
      </w:pPr>
      <w:r w:rsidRPr="002E0A8E">
        <w:rPr>
          <w:sz w:val="28"/>
          <w:szCs w:val="28"/>
          <w:lang w:val="ru-RU"/>
        </w:rPr>
        <w:t>Таким образом, можно сделать вывод о том, что понятие «инвестиционная привлекательность» означает наличие определенных условий инвестирования, которые влияют на предпочтения инвестора в выборе того или иного объекта инвестирования. В качестве основных составляющих инвестиционной привлекательности принято выделять «инвестиционный потенциал», - количественную характеристику инвестиционной привлекательности, и «инвестиционный риск» - ее качественную характеристику.</w:t>
      </w:r>
    </w:p>
    <w:p w:rsidR="00316B61" w:rsidRPr="002E0A8E" w:rsidRDefault="00316B61" w:rsidP="002E0A8E">
      <w:pPr>
        <w:widowControl w:val="0"/>
        <w:shd w:val="clear" w:color="auto" w:fill="FFFFFF"/>
        <w:tabs>
          <w:tab w:val="left" w:pos="993"/>
        </w:tabs>
        <w:ind w:firstLine="709"/>
        <w:rPr>
          <w:sz w:val="28"/>
          <w:szCs w:val="28"/>
          <w:lang w:val="ru-RU"/>
        </w:rPr>
      </w:pPr>
      <w:r w:rsidRPr="002E0A8E">
        <w:rPr>
          <w:sz w:val="28"/>
          <w:szCs w:val="28"/>
          <w:lang w:val="ru-RU"/>
        </w:rPr>
        <w:t xml:space="preserve">Инвестор, выбирая регион для вложения своих средств, руководствуется определенными характеристиками: инвестиционным потенциалом и уровнем инвестиционного риска, взаимосвязь которых и определяет инвестиционную привлекательность </w:t>
      </w:r>
      <w:r>
        <w:rPr>
          <w:sz w:val="28"/>
          <w:szCs w:val="28"/>
          <w:lang w:val="ru-RU"/>
        </w:rPr>
        <w:t>территории</w:t>
      </w:r>
      <w:r w:rsidRPr="002E0A8E">
        <w:rPr>
          <w:sz w:val="28"/>
          <w:szCs w:val="28"/>
          <w:lang w:val="ru-RU"/>
        </w:rPr>
        <w:t>.</w:t>
      </w:r>
    </w:p>
    <w:p w:rsidR="00316B61" w:rsidRDefault="00316B61" w:rsidP="002429A7">
      <w:pPr>
        <w:widowControl w:val="0"/>
        <w:shd w:val="clear" w:color="auto" w:fill="FFFFFF"/>
        <w:tabs>
          <w:tab w:val="left" w:pos="993"/>
        </w:tabs>
        <w:ind w:firstLine="0"/>
        <w:rPr>
          <w:sz w:val="28"/>
          <w:szCs w:val="28"/>
          <w:lang w:val="ru-RU"/>
        </w:rPr>
      </w:pPr>
    </w:p>
    <w:p w:rsidR="00316B61" w:rsidRDefault="00316B61" w:rsidP="002429A7">
      <w:pPr>
        <w:widowControl w:val="0"/>
        <w:shd w:val="clear" w:color="auto" w:fill="FFFFFF"/>
        <w:tabs>
          <w:tab w:val="left" w:pos="993"/>
        </w:tabs>
        <w:ind w:firstLine="0"/>
        <w:rPr>
          <w:sz w:val="28"/>
          <w:szCs w:val="28"/>
          <w:lang w:val="ru-RU"/>
        </w:rPr>
      </w:pPr>
    </w:p>
    <w:p w:rsidR="00316B61" w:rsidRDefault="00316B61" w:rsidP="002429A7">
      <w:pPr>
        <w:widowControl w:val="0"/>
        <w:shd w:val="clear" w:color="auto" w:fill="FFFFFF"/>
        <w:tabs>
          <w:tab w:val="left" w:pos="993"/>
        </w:tabs>
        <w:ind w:firstLine="0"/>
        <w:rPr>
          <w:sz w:val="28"/>
          <w:szCs w:val="28"/>
          <w:lang w:val="ru-RU"/>
        </w:rPr>
      </w:pPr>
    </w:p>
    <w:p w:rsidR="00316B61" w:rsidRDefault="00316B61" w:rsidP="002429A7">
      <w:pPr>
        <w:widowControl w:val="0"/>
        <w:shd w:val="clear" w:color="auto" w:fill="FFFFFF"/>
        <w:tabs>
          <w:tab w:val="left" w:pos="993"/>
        </w:tabs>
        <w:ind w:firstLine="0"/>
        <w:rPr>
          <w:sz w:val="28"/>
          <w:szCs w:val="28"/>
          <w:lang w:val="ru-RU"/>
        </w:rPr>
      </w:pPr>
    </w:p>
    <w:p w:rsidR="00316B61" w:rsidRDefault="00316B61" w:rsidP="002429A7">
      <w:pPr>
        <w:widowControl w:val="0"/>
        <w:shd w:val="clear" w:color="auto" w:fill="FFFFFF"/>
        <w:tabs>
          <w:tab w:val="left" w:pos="993"/>
        </w:tabs>
        <w:ind w:firstLine="0"/>
        <w:rPr>
          <w:sz w:val="28"/>
          <w:szCs w:val="28"/>
          <w:lang w:val="ru-RU"/>
        </w:rPr>
      </w:pPr>
    </w:p>
    <w:p w:rsidR="00316B61" w:rsidRDefault="00316B61" w:rsidP="002429A7">
      <w:pPr>
        <w:widowControl w:val="0"/>
        <w:shd w:val="clear" w:color="auto" w:fill="FFFFFF"/>
        <w:tabs>
          <w:tab w:val="left" w:pos="993"/>
        </w:tabs>
        <w:ind w:firstLine="0"/>
        <w:rPr>
          <w:sz w:val="28"/>
          <w:szCs w:val="28"/>
          <w:lang w:val="ru-RU"/>
        </w:rPr>
      </w:pPr>
    </w:p>
    <w:p w:rsidR="00316B61" w:rsidRDefault="00316B61" w:rsidP="002429A7">
      <w:pPr>
        <w:widowControl w:val="0"/>
        <w:shd w:val="clear" w:color="auto" w:fill="FFFFFF"/>
        <w:tabs>
          <w:tab w:val="left" w:pos="993"/>
        </w:tabs>
        <w:ind w:firstLine="0"/>
        <w:rPr>
          <w:sz w:val="28"/>
          <w:szCs w:val="28"/>
          <w:lang w:val="ru-RU"/>
        </w:rPr>
      </w:pPr>
    </w:p>
    <w:p w:rsidR="00316B61" w:rsidRDefault="00316B61" w:rsidP="002429A7">
      <w:pPr>
        <w:widowControl w:val="0"/>
        <w:shd w:val="clear" w:color="auto" w:fill="FFFFFF"/>
        <w:tabs>
          <w:tab w:val="left" w:pos="993"/>
        </w:tabs>
        <w:ind w:firstLine="0"/>
        <w:rPr>
          <w:sz w:val="28"/>
          <w:szCs w:val="28"/>
          <w:lang w:val="ru-RU"/>
        </w:rPr>
      </w:pPr>
    </w:p>
    <w:p w:rsidR="00316B61" w:rsidRDefault="00316B61" w:rsidP="002429A7">
      <w:pPr>
        <w:widowControl w:val="0"/>
        <w:shd w:val="clear" w:color="auto" w:fill="FFFFFF"/>
        <w:tabs>
          <w:tab w:val="left" w:pos="993"/>
        </w:tabs>
        <w:ind w:firstLine="0"/>
        <w:rPr>
          <w:sz w:val="28"/>
          <w:szCs w:val="28"/>
          <w:lang w:val="ru-RU"/>
        </w:rPr>
      </w:pPr>
    </w:p>
    <w:p w:rsidR="00316B61" w:rsidRPr="002E0A8E" w:rsidRDefault="00316B61" w:rsidP="002E0A8E">
      <w:pPr>
        <w:widowControl w:val="0"/>
        <w:shd w:val="clear" w:color="auto" w:fill="FFFFFF"/>
        <w:tabs>
          <w:tab w:val="left" w:pos="993"/>
        </w:tabs>
        <w:ind w:firstLine="0"/>
        <w:jc w:val="center"/>
        <w:rPr>
          <w:b/>
          <w:sz w:val="28"/>
          <w:szCs w:val="28"/>
          <w:lang w:val="ru-RU"/>
        </w:rPr>
      </w:pPr>
      <w:bookmarkStart w:id="0" w:name="_Toc116313631"/>
      <w:r w:rsidRPr="002E0A8E">
        <w:rPr>
          <w:b/>
          <w:sz w:val="28"/>
          <w:szCs w:val="28"/>
          <w:lang w:val="ru-RU"/>
        </w:rPr>
        <w:t>Глава 2  Анализ инвестиционной привлекательности Тюменской области</w:t>
      </w:r>
    </w:p>
    <w:p w:rsidR="00316B61" w:rsidRPr="002E0A8E" w:rsidRDefault="00316B61" w:rsidP="002E0A8E">
      <w:pPr>
        <w:pStyle w:val="2"/>
        <w:suppressAutoHyphens/>
        <w:jc w:val="center"/>
        <w:rPr>
          <w:color w:val="000000"/>
          <w:kern w:val="28"/>
          <w:sz w:val="28"/>
          <w:szCs w:val="28"/>
        </w:rPr>
      </w:pPr>
      <w:r w:rsidRPr="002E0A8E">
        <w:rPr>
          <w:color w:val="000000"/>
          <w:kern w:val="28"/>
          <w:sz w:val="28"/>
          <w:szCs w:val="28"/>
        </w:rPr>
        <w:t xml:space="preserve">2.1 Природно-ресурсный потенциал </w:t>
      </w:r>
      <w:bookmarkEnd w:id="0"/>
    </w:p>
    <w:p w:rsidR="00316B61" w:rsidRPr="002E0A8E" w:rsidRDefault="00316B61" w:rsidP="002E0A8E">
      <w:pPr>
        <w:rPr>
          <w:sz w:val="28"/>
          <w:szCs w:val="28"/>
          <w:lang w:val="ru-RU"/>
        </w:rPr>
      </w:pPr>
    </w:p>
    <w:p w:rsidR="00316B61" w:rsidRPr="002E0A8E" w:rsidRDefault="00316B61" w:rsidP="002E0A8E">
      <w:pPr>
        <w:rPr>
          <w:sz w:val="28"/>
          <w:szCs w:val="28"/>
          <w:lang w:val="ru-RU"/>
        </w:rPr>
      </w:pPr>
      <w:r>
        <w:rPr>
          <w:sz w:val="28"/>
          <w:szCs w:val="28"/>
          <w:lang w:val="ru-RU"/>
        </w:rPr>
        <w:t xml:space="preserve"> </w:t>
      </w:r>
      <w:r w:rsidRPr="002E0A8E">
        <w:rPr>
          <w:sz w:val="28"/>
          <w:szCs w:val="28"/>
          <w:lang w:val="ru-RU"/>
        </w:rPr>
        <w:t xml:space="preserve">Тюменская область образована 14 августа 1944 года. Располагается в центре Евразии, на западе азиатской части России, омывается водами Карского моря. Тюменская область простирается от степей Казахстана до берегов Северного Ледовитого океана и занимает большую часть Западно-Сибирской равнины. По размерам территории область уступает лишь двум субъектам Российской Федерации – Республике Саха (Якутии) и Красноярскому краю. </w:t>
      </w:r>
    </w:p>
    <w:p w:rsidR="00316B61" w:rsidRPr="002E0A8E" w:rsidRDefault="00316B61" w:rsidP="002E0A8E">
      <w:pPr>
        <w:rPr>
          <w:sz w:val="28"/>
          <w:szCs w:val="28"/>
          <w:lang w:val="ru-RU"/>
        </w:rPr>
      </w:pPr>
      <w:r w:rsidRPr="002E0A8E">
        <w:rPr>
          <w:sz w:val="28"/>
          <w:szCs w:val="28"/>
          <w:lang w:val="ru-RU"/>
        </w:rPr>
        <w:t>Площадь территории 1435,2 тыс. кв.км, численность населения 3430 тыс. чел.</w:t>
      </w:r>
    </w:p>
    <w:p w:rsidR="00316B61" w:rsidRPr="002E0A8E" w:rsidRDefault="00316B61" w:rsidP="002E0A8E">
      <w:pPr>
        <w:rPr>
          <w:sz w:val="28"/>
          <w:szCs w:val="28"/>
          <w:lang w:val="ru-RU"/>
        </w:rPr>
      </w:pPr>
      <w:r w:rsidRPr="002E0A8E">
        <w:rPr>
          <w:sz w:val="28"/>
          <w:szCs w:val="28"/>
          <w:lang w:val="ru-RU"/>
        </w:rPr>
        <w:t>Административный центр - г. Тюмень (расстояние от Тюмени до Москвы - 2144 км).</w:t>
      </w:r>
    </w:p>
    <w:p w:rsidR="00316B61" w:rsidRDefault="00425EC5" w:rsidP="002E0A8E">
      <w:pPr>
        <w:rPr>
          <w:sz w:val="28"/>
          <w:szCs w:val="28"/>
        </w:rPr>
      </w:pPr>
      <w:r>
        <w:rPr>
          <w:noProof/>
          <w:color w:val="000000"/>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30.5pt;height:267.75pt;visibility:visible">
            <v:imagedata r:id="rId7" o:title=""/>
          </v:shape>
        </w:pict>
      </w:r>
    </w:p>
    <w:p w:rsidR="00316B61" w:rsidRPr="002E0A8E" w:rsidRDefault="00316B61" w:rsidP="002E0A8E">
      <w:pPr>
        <w:jc w:val="center"/>
        <w:rPr>
          <w:color w:val="000000"/>
          <w:sz w:val="28"/>
          <w:szCs w:val="28"/>
          <w:lang w:val="ru-RU"/>
        </w:rPr>
      </w:pPr>
      <w:r w:rsidRPr="002E0A8E">
        <w:rPr>
          <w:color w:val="000000"/>
          <w:sz w:val="28"/>
          <w:szCs w:val="28"/>
          <w:lang w:val="ru-RU"/>
        </w:rPr>
        <w:t>Рис.1 Тюменская область на карте России</w:t>
      </w:r>
    </w:p>
    <w:p w:rsidR="00316B61" w:rsidRPr="002E0A8E" w:rsidRDefault="00316B61" w:rsidP="002E0A8E">
      <w:pPr>
        <w:rPr>
          <w:sz w:val="28"/>
          <w:szCs w:val="28"/>
          <w:lang w:val="ru-RU"/>
        </w:rPr>
      </w:pPr>
    </w:p>
    <w:p w:rsidR="00316B61" w:rsidRPr="002E0A8E" w:rsidRDefault="00316B61" w:rsidP="00701503">
      <w:pPr>
        <w:ind w:firstLine="0"/>
        <w:rPr>
          <w:sz w:val="28"/>
          <w:szCs w:val="28"/>
          <w:lang w:val="ru-RU"/>
        </w:rPr>
      </w:pPr>
      <w:r w:rsidRPr="002E0A8E">
        <w:rPr>
          <w:sz w:val="28"/>
          <w:szCs w:val="28"/>
          <w:lang w:val="ru-RU"/>
        </w:rPr>
        <w:t xml:space="preserve"> </w:t>
      </w:r>
      <w:r>
        <w:rPr>
          <w:sz w:val="28"/>
          <w:szCs w:val="28"/>
          <w:lang w:val="ru-RU"/>
        </w:rPr>
        <w:t xml:space="preserve">      </w:t>
      </w:r>
      <w:r w:rsidRPr="002E0A8E">
        <w:rPr>
          <w:sz w:val="28"/>
          <w:szCs w:val="28"/>
          <w:lang w:val="ru-RU"/>
        </w:rPr>
        <w:t xml:space="preserve"> Благоприятное экономико-географическое положение региона определяется близостью к экономически развитым районам европейской части страны, прежде всего к Уралу, обеспеченностью разнообразными природными ресурсами. Эти факторы, наряду с политической стабильностью, составляют инвестиционную привлекательность области, являются условиями экономического развития региона.</w:t>
      </w:r>
    </w:p>
    <w:p w:rsidR="00316B61" w:rsidRPr="002E0A8E" w:rsidRDefault="00316B61" w:rsidP="00701503">
      <w:pPr>
        <w:ind w:firstLine="0"/>
        <w:rPr>
          <w:sz w:val="28"/>
          <w:szCs w:val="28"/>
          <w:lang w:val="ru-RU"/>
        </w:rPr>
      </w:pPr>
      <w:r>
        <w:rPr>
          <w:sz w:val="28"/>
          <w:szCs w:val="28"/>
          <w:lang w:val="ru-RU"/>
        </w:rPr>
        <w:t xml:space="preserve">         </w:t>
      </w:r>
      <w:r w:rsidRPr="002E0A8E">
        <w:rPr>
          <w:sz w:val="28"/>
          <w:szCs w:val="28"/>
          <w:lang w:val="ru-RU"/>
        </w:rPr>
        <w:t xml:space="preserve">Экономический потенциал Тюменской области подтверждается абсолютной величиной вклада в формирование валового внутреннего продукта Российской Федерации. По объему валового регионального продукта в расчете на душу населения область не имеет себе равных в России. </w:t>
      </w:r>
    </w:p>
    <w:p w:rsidR="00316B61" w:rsidRPr="002E0A8E" w:rsidRDefault="00316B61" w:rsidP="002E0A8E">
      <w:pPr>
        <w:rPr>
          <w:sz w:val="28"/>
          <w:szCs w:val="28"/>
          <w:lang w:val="ru-RU"/>
        </w:rPr>
      </w:pPr>
      <w:r w:rsidRPr="002E0A8E">
        <w:rPr>
          <w:sz w:val="28"/>
          <w:szCs w:val="28"/>
          <w:lang w:val="ru-RU"/>
        </w:rPr>
        <w:t>Тюменской областью совместно с Ханты-Мансийским - Югрой и Ямало-Ненецким автономными округами принята и реализуется областная целевая программа "Сотрудничество", которая направлена на сохранение общественно-политической стабильности, создание более качественных условий жизни населения и активное социально-экономическое развитие территорий.</w:t>
      </w:r>
    </w:p>
    <w:p w:rsidR="00316B61" w:rsidRPr="002E0A8E" w:rsidRDefault="00316B61" w:rsidP="002E0A8E">
      <w:pPr>
        <w:rPr>
          <w:sz w:val="28"/>
          <w:szCs w:val="28"/>
          <w:lang w:val="ru-RU"/>
        </w:rPr>
      </w:pPr>
    </w:p>
    <w:p w:rsidR="00316B61" w:rsidRPr="002E0A8E" w:rsidRDefault="00316B61" w:rsidP="002E0A8E">
      <w:pPr>
        <w:jc w:val="center"/>
        <w:rPr>
          <w:b/>
          <w:sz w:val="28"/>
          <w:szCs w:val="28"/>
          <w:lang w:val="ru-RU"/>
        </w:rPr>
      </w:pPr>
      <w:r w:rsidRPr="002E0A8E">
        <w:rPr>
          <w:b/>
          <w:sz w:val="28"/>
          <w:szCs w:val="28"/>
          <w:lang w:val="ru-RU"/>
        </w:rPr>
        <w:t>Административно-территориальное деление</w:t>
      </w:r>
    </w:p>
    <w:p w:rsidR="00316B61" w:rsidRDefault="00316B61" w:rsidP="00701503">
      <w:pPr>
        <w:ind w:firstLine="0"/>
        <w:rPr>
          <w:sz w:val="28"/>
          <w:szCs w:val="28"/>
          <w:lang w:val="ru-RU"/>
        </w:rPr>
      </w:pPr>
      <w:r>
        <w:rPr>
          <w:sz w:val="28"/>
          <w:szCs w:val="28"/>
          <w:lang w:val="ru-RU"/>
        </w:rPr>
        <w:t xml:space="preserve">       </w:t>
      </w:r>
      <w:r w:rsidRPr="002E0A8E">
        <w:rPr>
          <w:sz w:val="28"/>
          <w:szCs w:val="28"/>
          <w:lang w:val="ru-RU"/>
        </w:rPr>
        <w:t xml:space="preserve"> В состав Тюменской области входят два равноправных субъекта Российской Федерации – Ханты-Мансийский - Югра и Ямало-Ненецкий автономные округа. В области насчитывается 29 городов, 38 районов, 34 поселка городского типа, 1537 сельских населенных пунктов. Действуют 483 муниципальных образования и 428 сельских администраций. В городских поселениях преобладают малые с численностью населения до 50 тыс. человек (83%), в них проживает треть горожан. Среди сельских населенных пунктов большая часть (66%) приходится на деревни с населением от 50 до 1000 человек.</w:t>
      </w:r>
    </w:p>
    <w:p w:rsidR="00316B61" w:rsidRPr="002E0A8E" w:rsidRDefault="00316B61" w:rsidP="002E0A8E">
      <w:pPr>
        <w:rPr>
          <w:sz w:val="28"/>
          <w:szCs w:val="28"/>
          <w:lang w:val="ru-RU"/>
        </w:rPr>
      </w:pPr>
    </w:p>
    <w:p w:rsidR="00316B61" w:rsidRPr="002E0A8E" w:rsidRDefault="00316B61" w:rsidP="002E0A8E">
      <w:pPr>
        <w:rPr>
          <w:sz w:val="28"/>
          <w:szCs w:val="28"/>
          <w:lang w:val="ru-RU"/>
        </w:rPr>
      </w:pPr>
    </w:p>
    <w:p w:rsidR="00316B61" w:rsidRPr="00701503" w:rsidRDefault="00316B61" w:rsidP="002E0A8E">
      <w:pPr>
        <w:jc w:val="center"/>
        <w:rPr>
          <w:b/>
          <w:sz w:val="28"/>
          <w:szCs w:val="28"/>
          <w:lang w:val="ru-RU"/>
        </w:rPr>
      </w:pPr>
      <w:r w:rsidRPr="00701503">
        <w:rPr>
          <w:b/>
          <w:sz w:val="28"/>
          <w:szCs w:val="28"/>
          <w:lang w:val="ru-RU"/>
        </w:rPr>
        <w:t>Природные ресурсы</w:t>
      </w:r>
    </w:p>
    <w:p w:rsidR="00316B61" w:rsidRPr="002E0A8E" w:rsidRDefault="00316B61" w:rsidP="00701503">
      <w:pPr>
        <w:ind w:firstLine="0"/>
        <w:rPr>
          <w:sz w:val="28"/>
          <w:szCs w:val="28"/>
          <w:lang w:val="ru-RU"/>
        </w:rPr>
      </w:pPr>
      <w:r>
        <w:rPr>
          <w:sz w:val="28"/>
          <w:szCs w:val="28"/>
          <w:lang w:val="ru-RU"/>
        </w:rPr>
        <w:t xml:space="preserve">       </w:t>
      </w:r>
      <w:r w:rsidRPr="002E0A8E">
        <w:rPr>
          <w:sz w:val="28"/>
          <w:szCs w:val="28"/>
          <w:lang w:val="ru-RU"/>
        </w:rPr>
        <w:t>Область располагает заметными в мировом масштабе ресурсами углеводородного сырья, в ее недрах сосредоточена основная часть разведанных запасов нефти и газа России. К уникальным нефтяным месторождениям относятся</w:t>
      </w:r>
      <w:r>
        <w:rPr>
          <w:sz w:val="28"/>
          <w:szCs w:val="28"/>
          <w:lang w:val="ru-RU"/>
        </w:rPr>
        <w:t xml:space="preserve"> </w:t>
      </w:r>
      <w:r w:rsidRPr="002E0A8E">
        <w:rPr>
          <w:sz w:val="28"/>
          <w:szCs w:val="28"/>
          <w:lang w:val="ru-RU"/>
        </w:rPr>
        <w:t xml:space="preserve"> Самотлорское, Холмогорское, Красноленинское, Федоровское и др., газовым - Уренгойское, Медвежье, Ямбургское и др. По оценкам специалистов богатые углеводородные зоны находятся на полуострове Гыдан и в Карском шельфе зоны Ямала, большие перспективы связаны с освоением Уватской группы месторождений в южной части области.</w:t>
      </w:r>
    </w:p>
    <w:p w:rsidR="00316B61" w:rsidRPr="002E0A8E" w:rsidRDefault="00316B61" w:rsidP="00701503">
      <w:pPr>
        <w:ind w:firstLine="0"/>
        <w:rPr>
          <w:sz w:val="28"/>
          <w:szCs w:val="28"/>
          <w:lang w:val="ru-RU"/>
        </w:rPr>
      </w:pPr>
      <w:r>
        <w:rPr>
          <w:sz w:val="28"/>
          <w:szCs w:val="28"/>
          <w:lang w:val="ru-RU"/>
        </w:rPr>
        <w:t xml:space="preserve">       </w:t>
      </w:r>
      <w:r w:rsidRPr="002E0A8E">
        <w:rPr>
          <w:sz w:val="28"/>
          <w:szCs w:val="28"/>
          <w:lang w:val="ru-RU"/>
        </w:rPr>
        <w:t xml:space="preserve">На территории области производится добыча торфа, сапропелей, кварцевых песков, кирпичных и керамзитовых глин, известняков, строительного камня. Выявлено и в разной степени разведано около 400 месторождений сырья для производства строительных материалов. </w:t>
      </w:r>
    </w:p>
    <w:p w:rsidR="00316B61" w:rsidRPr="002E0A8E" w:rsidRDefault="00316B61" w:rsidP="00701503">
      <w:pPr>
        <w:ind w:firstLine="0"/>
        <w:rPr>
          <w:sz w:val="28"/>
          <w:szCs w:val="28"/>
          <w:lang w:val="ru-RU"/>
        </w:rPr>
      </w:pPr>
      <w:r>
        <w:rPr>
          <w:sz w:val="28"/>
          <w:szCs w:val="28"/>
          <w:lang w:val="ru-RU"/>
        </w:rPr>
        <w:t xml:space="preserve">        </w:t>
      </w:r>
      <w:r w:rsidRPr="002E0A8E">
        <w:rPr>
          <w:sz w:val="28"/>
          <w:szCs w:val="28"/>
          <w:lang w:val="ru-RU"/>
        </w:rPr>
        <w:t>Область богата запасами пресной воды. Имеются значительные ресурсы минеральных вод. В подземных водах содержится более половины российских запасов йода и брома.</w:t>
      </w:r>
    </w:p>
    <w:p w:rsidR="00316B61" w:rsidRDefault="00316B61" w:rsidP="002429A7">
      <w:pPr>
        <w:widowControl w:val="0"/>
        <w:shd w:val="clear" w:color="auto" w:fill="FFFFFF"/>
        <w:tabs>
          <w:tab w:val="left" w:pos="993"/>
        </w:tabs>
        <w:ind w:firstLine="0"/>
        <w:rPr>
          <w:sz w:val="28"/>
          <w:szCs w:val="28"/>
          <w:lang w:val="ru-RU"/>
        </w:rPr>
      </w:pPr>
    </w:p>
    <w:p w:rsidR="00316B61" w:rsidRPr="00701503" w:rsidRDefault="00316B61" w:rsidP="00701503">
      <w:pPr>
        <w:jc w:val="center"/>
        <w:rPr>
          <w:b/>
          <w:sz w:val="28"/>
          <w:szCs w:val="28"/>
          <w:lang w:val="ru-RU"/>
        </w:rPr>
      </w:pPr>
      <w:r w:rsidRPr="00701503">
        <w:rPr>
          <w:b/>
          <w:sz w:val="28"/>
          <w:szCs w:val="28"/>
          <w:lang w:val="ru-RU"/>
        </w:rPr>
        <w:t>2.2 Общая оценка социально-экономической ситуации в регионе</w:t>
      </w:r>
    </w:p>
    <w:p w:rsidR="00316B61" w:rsidRDefault="00316B61" w:rsidP="00701503">
      <w:pPr>
        <w:rPr>
          <w:sz w:val="28"/>
          <w:szCs w:val="28"/>
          <w:lang w:val="ru-RU"/>
        </w:rPr>
      </w:pPr>
      <w:r w:rsidRPr="00701503">
        <w:rPr>
          <w:sz w:val="28"/>
          <w:szCs w:val="28"/>
          <w:lang w:val="ru-RU"/>
        </w:rPr>
        <w:t xml:space="preserve">     </w:t>
      </w:r>
    </w:p>
    <w:p w:rsidR="00316B61" w:rsidRPr="00701503" w:rsidRDefault="00316B61" w:rsidP="00701503">
      <w:pPr>
        <w:ind w:firstLine="0"/>
        <w:rPr>
          <w:sz w:val="28"/>
          <w:szCs w:val="28"/>
          <w:lang w:val="ru-RU"/>
        </w:rPr>
      </w:pPr>
      <w:r>
        <w:rPr>
          <w:sz w:val="28"/>
          <w:szCs w:val="28"/>
          <w:lang w:val="ru-RU"/>
        </w:rPr>
        <w:t xml:space="preserve">       </w:t>
      </w:r>
      <w:r w:rsidRPr="00701503">
        <w:rPr>
          <w:sz w:val="28"/>
          <w:szCs w:val="28"/>
          <w:lang w:val="ru-RU"/>
        </w:rPr>
        <w:t>В течение 9 месяцев 2010 года в регионе отмечается устойчивая динамика роста в реальном секторе экономики. К положительным факторам следует отнести рост промышленного и сельскохозяйственного производства, начавшееся восстановление инвестиционной активности и потребительского спроса, высокие объемы жилищного строительства, низкий уровень регистрируемой безработицы.</w:t>
      </w:r>
    </w:p>
    <w:p w:rsidR="00316B61" w:rsidRPr="00701503" w:rsidRDefault="00316B61" w:rsidP="00701503">
      <w:pPr>
        <w:ind w:firstLine="0"/>
        <w:rPr>
          <w:sz w:val="28"/>
          <w:szCs w:val="28"/>
          <w:lang w:val="ru-RU"/>
        </w:rPr>
      </w:pPr>
      <w:r>
        <w:rPr>
          <w:sz w:val="28"/>
          <w:szCs w:val="28"/>
          <w:lang w:val="ru-RU"/>
        </w:rPr>
        <w:t xml:space="preserve">       </w:t>
      </w:r>
      <w:r w:rsidRPr="00701503">
        <w:rPr>
          <w:sz w:val="28"/>
          <w:szCs w:val="28"/>
          <w:lang w:val="ru-RU"/>
        </w:rPr>
        <w:t>Учреждения социальной сферы и системы жизнеобеспечения работают в нормальном режиме. Сохраняется тенденция роста численности населения.</w:t>
      </w:r>
    </w:p>
    <w:p w:rsidR="00316B61" w:rsidRDefault="00316B61" w:rsidP="00701503">
      <w:pPr>
        <w:rPr>
          <w:sz w:val="28"/>
          <w:szCs w:val="28"/>
          <w:lang w:val="ru-RU"/>
        </w:rPr>
      </w:pPr>
    </w:p>
    <w:p w:rsidR="00316B61" w:rsidRPr="00701503" w:rsidRDefault="00316B61" w:rsidP="00701503">
      <w:pPr>
        <w:rPr>
          <w:sz w:val="28"/>
          <w:szCs w:val="28"/>
          <w:lang w:val="ru-RU"/>
        </w:rPr>
      </w:pPr>
    </w:p>
    <w:p w:rsidR="00316B61" w:rsidRDefault="00316B61" w:rsidP="00701503">
      <w:pPr>
        <w:jc w:val="center"/>
        <w:rPr>
          <w:b/>
          <w:sz w:val="28"/>
          <w:szCs w:val="28"/>
          <w:lang w:val="ru-RU"/>
        </w:rPr>
      </w:pPr>
      <w:r w:rsidRPr="00701503">
        <w:rPr>
          <w:b/>
          <w:sz w:val="28"/>
          <w:szCs w:val="28"/>
          <w:lang w:val="ru-RU"/>
        </w:rPr>
        <w:t>Промышленное производство</w:t>
      </w:r>
    </w:p>
    <w:p w:rsidR="00316B61" w:rsidRPr="00701503" w:rsidRDefault="00316B61" w:rsidP="00701503">
      <w:pPr>
        <w:ind w:firstLine="0"/>
        <w:jc w:val="left"/>
        <w:rPr>
          <w:b/>
          <w:sz w:val="28"/>
          <w:szCs w:val="28"/>
          <w:lang w:val="ru-RU"/>
        </w:rPr>
      </w:pPr>
      <w:r>
        <w:rPr>
          <w:b/>
          <w:sz w:val="28"/>
          <w:szCs w:val="28"/>
          <w:lang w:val="ru-RU"/>
        </w:rPr>
        <w:t xml:space="preserve">       </w:t>
      </w:r>
      <w:r w:rsidRPr="00701503">
        <w:rPr>
          <w:sz w:val="28"/>
          <w:szCs w:val="28"/>
          <w:lang w:val="ru-RU"/>
        </w:rPr>
        <w:t>Индекс промышленного производства по итогам 9 месяцев 2010 года составил 131,6%  при  среднероссийском  показателе 108,9%.</w:t>
      </w:r>
    </w:p>
    <w:p w:rsidR="00316B61" w:rsidRPr="00701503" w:rsidRDefault="00316B61" w:rsidP="00701503">
      <w:pPr>
        <w:jc w:val="center"/>
        <w:rPr>
          <w:b/>
          <w:sz w:val="28"/>
          <w:szCs w:val="28"/>
          <w:lang w:val="ru-RU"/>
        </w:rPr>
      </w:pPr>
    </w:p>
    <w:p w:rsidR="00316B61" w:rsidRDefault="00316B61" w:rsidP="00701503">
      <w:pPr>
        <w:jc w:val="center"/>
        <w:rPr>
          <w:b/>
          <w:sz w:val="28"/>
          <w:szCs w:val="28"/>
          <w:lang w:val="ru-RU"/>
        </w:rPr>
      </w:pPr>
      <w:r w:rsidRPr="00701503">
        <w:rPr>
          <w:b/>
          <w:sz w:val="28"/>
          <w:szCs w:val="28"/>
          <w:lang w:val="ru-RU"/>
        </w:rPr>
        <w:t>Добыча полезных ископаемых</w:t>
      </w:r>
    </w:p>
    <w:p w:rsidR="00316B61" w:rsidRPr="00701503" w:rsidRDefault="00316B61" w:rsidP="00701503">
      <w:pPr>
        <w:rPr>
          <w:b/>
          <w:sz w:val="28"/>
          <w:szCs w:val="28"/>
          <w:lang w:val="ru-RU"/>
        </w:rPr>
      </w:pPr>
      <w:r w:rsidRPr="00701503">
        <w:rPr>
          <w:sz w:val="28"/>
          <w:szCs w:val="28"/>
          <w:lang w:val="ru-RU"/>
        </w:rPr>
        <w:t>Добыча нефти по сравнению с аналогичным периодом прошлого года возросла на 75,7% и составила 3,7 млн. тонн. Началась добыча нефти в промышленных масштабах на новом Тямкинском месторождении Уватского района. Добыча местных строительных материалов (песка, глины) увеличилась на 15,4%.</w:t>
      </w:r>
    </w:p>
    <w:p w:rsidR="00316B61" w:rsidRPr="00701503" w:rsidRDefault="00316B61" w:rsidP="00701503">
      <w:pPr>
        <w:rPr>
          <w:b/>
          <w:sz w:val="28"/>
          <w:szCs w:val="28"/>
          <w:lang w:val="ru-RU"/>
        </w:rPr>
      </w:pPr>
    </w:p>
    <w:p w:rsidR="00316B61" w:rsidRPr="00701503" w:rsidRDefault="00316B61" w:rsidP="00701503">
      <w:pPr>
        <w:jc w:val="center"/>
        <w:rPr>
          <w:b/>
          <w:sz w:val="28"/>
          <w:szCs w:val="28"/>
          <w:lang w:val="ru-RU"/>
        </w:rPr>
      </w:pPr>
      <w:r w:rsidRPr="00701503">
        <w:rPr>
          <w:b/>
          <w:sz w:val="28"/>
          <w:szCs w:val="28"/>
          <w:lang w:val="ru-RU"/>
        </w:rPr>
        <w:t>Обрабатывающие производства</w:t>
      </w:r>
    </w:p>
    <w:p w:rsidR="00316B61" w:rsidRPr="00701503" w:rsidRDefault="00316B61" w:rsidP="00701503">
      <w:pPr>
        <w:ind w:firstLine="0"/>
        <w:rPr>
          <w:sz w:val="28"/>
          <w:szCs w:val="28"/>
          <w:lang w:val="ru-RU"/>
        </w:rPr>
      </w:pPr>
      <w:r>
        <w:rPr>
          <w:sz w:val="28"/>
          <w:szCs w:val="28"/>
          <w:lang w:val="ru-RU"/>
        </w:rPr>
        <w:t xml:space="preserve">       </w:t>
      </w:r>
      <w:r w:rsidRPr="00701503">
        <w:rPr>
          <w:sz w:val="28"/>
          <w:szCs w:val="28"/>
          <w:lang w:val="ru-RU"/>
        </w:rPr>
        <w:t xml:space="preserve"> Наиболее весомый вклад в развитие промышленности вносят предприятия обрабатывающего сектора производства.</w:t>
      </w:r>
    </w:p>
    <w:p w:rsidR="00316B61" w:rsidRPr="00701503" w:rsidRDefault="00316B61" w:rsidP="00701503">
      <w:pPr>
        <w:ind w:firstLine="0"/>
        <w:rPr>
          <w:sz w:val="28"/>
          <w:szCs w:val="28"/>
          <w:lang w:val="ru-RU"/>
        </w:rPr>
      </w:pPr>
      <w:r>
        <w:rPr>
          <w:sz w:val="28"/>
          <w:szCs w:val="28"/>
          <w:lang w:val="ru-RU"/>
        </w:rPr>
        <w:t xml:space="preserve">        </w:t>
      </w:r>
      <w:r w:rsidRPr="00701503">
        <w:rPr>
          <w:sz w:val="28"/>
          <w:szCs w:val="28"/>
          <w:lang w:val="ru-RU"/>
        </w:rPr>
        <w:t>По итогам  9 месяцев 2010 года индекс производства в обрабатывающем секторе промышленности по сравнению с  аналогичным периодом прошлого года увеличился на 24%, в том числе в производстве нефтепродуктов - на 48,1%, электрооборудования, электронного и оптического оборудования - на 42,5%, машин и оборудования - на 39%, прочих неметаллических минеральных продуктов - на 30%, в металлургическом производстве и производстве готовых металлических изделий  - на 27,7%, производстве резиновых и пластмассовых изделий - на 18,6%, пищевых продуктов - на 8,8%.</w:t>
      </w:r>
    </w:p>
    <w:p w:rsidR="00316B61" w:rsidRPr="00701503" w:rsidRDefault="00316B61" w:rsidP="00701503">
      <w:pPr>
        <w:ind w:firstLine="0"/>
        <w:rPr>
          <w:sz w:val="28"/>
          <w:szCs w:val="28"/>
          <w:lang w:val="ru-RU"/>
        </w:rPr>
      </w:pPr>
      <w:r>
        <w:rPr>
          <w:sz w:val="28"/>
          <w:szCs w:val="28"/>
          <w:lang w:val="ru-RU"/>
        </w:rPr>
        <w:t xml:space="preserve">        </w:t>
      </w:r>
      <w:r w:rsidRPr="00701503">
        <w:rPr>
          <w:sz w:val="28"/>
          <w:szCs w:val="28"/>
          <w:lang w:val="ru-RU"/>
        </w:rPr>
        <w:t>Производство дизельного топлива возросло в 2,2 раза, фанеры клееной - на 24,1%, древесно-стружечных плит - на 18,2%, минеральных тепло - и звукоизоляционных материалов и изделий - на 64,4%, товарного бетона - на 35,2%, сборных железобетонных деталей и конструкций - на 12,9%.</w:t>
      </w:r>
    </w:p>
    <w:p w:rsidR="00316B61" w:rsidRPr="00701503" w:rsidRDefault="00316B61" w:rsidP="00701503">
      <w:pPr>
        <w:ind w:firstLine="0"/>
        <w:rPr>
          <w:sz w:val="28"/>
          <w:szCs w:val="28"/>
          <w:lang w:val="ru-RU"/>
        </w:rPr>
      </w:pPr>
      <w:r>
        <w:rPr>
          <w:sz w:val="28"/>
          <w:szCs w:val="28"/>
          <w:lang w:val="ru-RU"/>
        </w:rPr>
        <w:t xml:space="preserve">        </w:t>
      </w:r>
      <w:r w:rsidRPr="00701503">
        <w:rPr>
          <w:sz w:val="28"/>
          <w:szCs w:val="28"/>
          <w:lang w:val="ru-RU"/>
        </w:rPr>
        <w:t>В машиностроении значительно увеличился выпуск автомобильных аккумуляторов (на 56,7%), а также контрольно-измерительных приборов и инструментов. Наращивается производство лекарственных средств - в 2,1 раза (в фактически действовавших ценах), синтетических смол - на 17,6%.</w:t>
      </w:r>
    </w:p>
    <w:p w:rsidR="00316B61" w:rsidRPr="00701503" w:rsidRDefault="00316B61" w:rsidP="00701503">
      <w:pPr>
        <w:ind w:firstLine="0"/>
        <w:rPr>
          <w:sz w:val="28"/>
          <w:szCs w:val="28"/>
          <w:lang w:val="ru-RU"/>
        </w:rPr>
      </w:pPr>
      <w:r>
        <w:rPr>
          <w:sz w:val="28"/>
          <w:szCs w:val="28"/>
          <w:lang w:val="ru-RU"/>
        </w:rPr>
        <w:t xml:space="preserve">        </w:t>
      </w:r>
      <w:r w:rsidRPr="00701503">
        <w:rPr>
          <w:sz w:val="28"/>
          <w:szCs w:val="28"/>
          <w:lang w:val="ru-RU"/>
        </w:rPr>
        <w:t>Благодаря стабильному спросу предприятия пищевой промышленности увеличили производство основных видов продукции: мяса и субпродуктов убойных животных - на 20,1%, полуфабрикатов мясных замороженных - на 19,5%, полуфабрикатов мясных охлажденных - на 15,3%, колбасных изделий - на 5,2%, товарной пищевой рыбной продукции - на 29,5%, сыров - на 30%, цельномолочной продукции - на 11%, муки - на  12,3%.</w:t>
      </w:r>
    </w:p>
    <w:p w:rsidR="00316B61" w:rsidRPr="00701503" w:rsidRDefault="00316B61" w:rsidP="00701503">
      <w:pPr>
        <w:ind w:firstLine="0"/>
        <w:rPr>
          <w:sz w:val="28"/>
          <w:szCs w:val="28"/>
          <w:lang w:val="ru-RU"/>
        </w:rPr>
      </w:pPr>
      <w:r>
        <w:rPr>
          <w:sz w:val="28"/>
          <w:szCs w:val="28"/>
          <w:lang w:val="ru-RU"/>
        </w:rPr>
        <w:t xml:space="preserve">       </w:t>
      </w:r>
      <w:r w:rsidRPr="00701503">
        <w:rPr>
          <w:sz w:val="28"/>
          <w:szCs w:val="28"/>
          <w:lang w:val="ru-RU"/>
        </w:rPr>
        <w:t xml:space="preserve"> В то же время по отдельным  видам продукции произошло сокращение объемов производства. Так, по сравнению с аналогичным периодом прошлого года выпуск мясных консервов снизился на 20,4%, молочных консервов - на 23,3%, кондитерских изделий - на 12%, пива - на 47,4%, водки - на 29,4%.</w:t>
      </w:r>
    </w:p>
    <w:p w:rsidR="00316B61" w:rsidRPr="00423BBC" w:rsidRDefault="00316B61" w:rsidP="00423BBC">
      <w:pPr>
        <w:ind w:firstLine="0"/>
        <w:rPr>
          <w:sz w:val="28"/>
          <w:szCs w:val="28"/>
          <w:lang w:val="ru-RU"/>
        </w:rPr>
      </w:pPr>
      <w:r>
        <w:rPr>
          <w:sz w:val="28"/>
          <w:szCs w:val="28"/>
          <w:lang w:val="ru-RU"/>
        </w:rPr>
        <w:t xml:space="preserve">        </w:t>
      </w:r>
      <w:r w:rsidRPr="00701503">
        <w:rPr>
          <w:sz w:val="28"/>
          <w:szCs w:val="28"/>
          <w:lang w:val="ru-RU"/>
        </w:rPr>
        <w:t>По сравнению с 9 месяцами  2009 года отмечается спад в текстильном и швейном производстве - на 34,5%, производстве обуви - на 37,5%, транспортных средств и оборудования - на 24,1%, химическом производстве - на 15%, обработке древесины и производстве изделий из дерева - на  3,8%.</w:t>
      </w:r>
    </w:p>
    <w:p w:rsidR="00316B61" w:rsidRPr="00701503" w:rsidRDefault="00316B61" w:rsidP="00701503">
      <w:pPr>
        <w:jc w:val="center"/>
        <w:rPr>
          <w:b/>
          <w:sz w:val="28"/>
          <w:szCs w:val="28"/>
          <w:lang w:val="ru-RU"/>
        </w:rPr>
      </w:pPr>
    </w:p>
    <w:p w:rsidR="00316B61" w:rsidRDefault="00316B61" w:rsidP="00701503">
      <w:pPr>
        <w:jc w:val="center"/>
        <w:rPr>
          <w:b/>
          <w:sz w:val="28"/>
          <w:szCs w:val="28"/>
          <w:lang w:val="ru-RU"/>
        </w:rPr>
      </w:pPr>
      <w:r w:rsidRPr="00701503">
        <w:rPr>
          <w:b/>
          <w:sz w:val="28"/>
          <w:szCs w:val="28"/>
          <w:lang w:val="ru-RU"/>
        </w:rPr>
        <w:t>Производство и распределение электроэнергии, газа и воды</w:t>
      </w:r>
    </w:p>
    <w:p w:rsidR="00316B61" w:rsidRPr="00423BBC" w:rsidRDefault="00316B61" w:rsidP="00423BBC">
      <w:pPr>
        <w:ind w:firstLine="0"/>
        <w:rPr>
          <w:b/>
          <w:sz w:val="28"/>
          <w:szCs w:val="28"/>
          <w:lang w:val="ru-RU"/>
        </w:rPr>
      </w:pPr>
      <w:r>
        <w:rPr>
          <w:sz w:val="28"/>
          <w:szCs w:val="28"/>
          <w:lang w:val="ru-RU"/>
        </w:rPr>
        <w:t xml:space="preserve">        </w:t>
      </w:r>
      <w:r w:rsidRPr="00701503">
        <w:rPr>
          <w:sz w:val="28"/>
          <w:szCs w:val="28"/>
          <w:lang w:val="ru-RU"/>
        </w:rPr>
        <w:t>В производстве и распределении электроэнергии, газа и воды индекс производства в январе-сентябре 2010 года составил 102,3%. За 9 месяцев текущего года выработано 8,5 млрд. кВт-час электроэнергии, что практически соответствует уровню соответствующего периода предыдущего года,  производство теплоэнергии  возросло до 10,98 млн. Гкал (на 13,7%).</w:t>
      </w:r>
    </w:p>
    <w:p w:rsidR="00316B61" w:rsidRPr="00701503" w:rsidRDefault="00316B61" w:rsidP="00701503">
      <w:pPr>
        <w:rPr>
          <w:sz w:val="28"/>
          <w:szCs w:val="28"/>
          <w:lang w:val="ru-RU"/>
        </w:rPr>
      </w:pPr>
    </w:p>
    <w:p w:rsidR="00316B61" w:rsidRPr="00701503" w:rsidRDefault="00316B61" w:rsidP="00701503">
      <w:pPr>
        <w:jc w:val="center"/>
        <w:rPr>
          <w:b/>
          <w:sz w:val="28"/>
          <w:szCs w:val="28"/>
          <w:lang w:val="ru-RU"/>
        </w:rPr>
      </w:pPr>
      <w:r w:rsidRPr="00701503">
        <w:rPr>
          <w:b/>
          <w:sz w:val="28"/>
          <w:szCs w:val="28"/>
          <w:lang w:val="ru-RU"/>
        </w:rPr>
        <w:t>Агропромышленный комплекс</w:t>
      </w:r>
    </w:p>
    <w:p w:rsidR="00316B61" w:rsidRPr="00701503" w:rsidRDefault="00316B61" w:rsidP="00701503">
      <w:pPr>
        <w:ind w:firstLine="0"/>
        <w:rPr>
          <w:sz w:val="28"/>
          <w:szCs w:val="28"/>
          <w:lang w:val="ru-RU"/>
        </w:rPr>
      </w:pPr>
      <w:r>
        <w:rPr>
          <w:sz w:val="28"/>
          <w:szCs w:val="28"/>
          <w:lang w:val="ru-RU"/>
        </w:rPr>
        <w:t xml:space="preserve">        </w:t>
      </w:r>
      <w:r w:rsidRPr="00701503">
        <w:rPr>
          <w:sz w:val="28"/>
          <w:szCs w:val="28"/>
          <w:lang w:val="ru-RU"/>
        </w:rPr>
        <w:t>В АПК продолжается рост объемов производства основных видов продукции  животноводства. По итогам 9 месяцев 2010 года хозяйствами всех категорий произведено 76,9 тыс. тонн мяса (104,3% к соответствующему периоду предыдущего года), 438,1 тыс. тонн молока (103,9%), 1004,6 млн. шт. яиц (102,8%). Отмечается рост  продуктивности молочного скота и птицы. Надой молока на одну корову увеличился на 4% (до 3858 кг), яйценоскость кур-несушек - на 2,5% (до 248 штук).</w:t>
      </w:r>
    </w:p>
    <w:p w:rsidR="00316B61" w:rsidRDefault="00316B61" w:rsidP="00701503">
      <w:pPr>
        <w:ind w:firstLine="0"/>
        <w:rPr>
          <w:sz w:val="28"/>
          <w:szCs w:val="28"/>
          <w:lang w:val="ru-RU"/>
        </w:rPr>
      </w:pPr>
      <w:r>
        <w:rPr>
          <w:sz w:val="28"/>
          <w:szCs w:val="28"/>
          <w:lang w:val="ru-RU"/>
        </w:rPr>
        <w:t xml:space="preserve">       </w:t>
      </w:r>
      <w:r w:rsidRPr="00701503">
        <w:rPr>
          <w:sz w:val="28"/>
          <w:szCs w:val="28"/>
          <w:lang w:val="ru-RU"/>
        </w:rPr>
        <w:t xml:space="preserve"> Продолжается создание современной технологической базы в животноводстве. В хозяйствах области действует 16 современных молочных комплексов, еще 4 объекта планируется ввести до конца текущего года. Обновляется генетический потенциал молочного животноводства, за  9 месяцев 2010 года завезено 1,8 тыс. голов племенных животных молочных пород зарубежной селекции. В хозяйствах населения функционируют 22 мини-фермы, до конца года будет введено еще 14. </w:t>
      </w:r>
    </w:p>
    <w:p w:rsidR="00316B61" w:rsidRPr="00701503" w:rsidRDefault="00316B61" w:rsidP="00701503">
      <w:pPr>
        <w:ind w:firstLine="0"/>
        <w:rPr>
          <w:sz w:val="28"/>
          <w:szCs w:val="28"/>
          <w:lang w:val="ru-RU"/>
        </w:rPr>
      </w:pPr>
      <w:r>
        <w:rPr>
          <w:sz w:val="28"/>
          <w:szCs w:val="28"/>
          <w:lang w:val="ru-RU"/>
        </w:rPr>
        <w:t xml:space="preserve">       </w:t>
      </w:r>
      <w:r w:rsidRPr="00701503">
        <w:rPr>
          <w:sz w:val="28"/>
          <w:szCs w:val="28"/>
          <w:lang w:val="ru-RU"/>
        </w:rPr>
        <w:t xml:space="preserve"> С начала года хозяйствам населения для обновления стада реализовано по льготным ценам около 900 голов племенного и улучшенного молодняка крупного рогатого скота, 2981 голова племенных свиноматок, предоставлено 10,5 тыс. тонн комбикормов.</w:t>
      </w:r>
    </w:p>
    <w:p w:rsidR="00316B61" w:rsidRDefault="00316B61" w:rsidP="00701503">
      <w:pPr>
        <w:ind w:firstLine="0"/>
        <w:rPr>
          <w:sz w:val="28"/>
          <w:szCs w:val="28"/>
          <w:lang w:val="ru-RU"/>
        </w:rPr>
      </w:pPr>
      <w:r>
        <w:rPr>
          <w:sz w:val="28"/>
          <w:szCs w:val="28"/>
          <w:lang w:val="ru-RU"/>
        </w:rPr>
        <w:t xml:space="preserve">        </w:t>
      </w:r>
      <w:r w:rsidRPr="00701503">
        <w:rPr>
          <w:sz w:val="28"/>
          <w:szCs w:val="28"/>
          <w:lang w:val="ru-RU"/>
        </w:rPr>
        <w:t>Развитию  малых форм хозяйствования  на селе способствуют сельскохозяйственные потребительские и кредитные кооперативы. Сумма займов, выданных кредитными кооперативами, за 9 месяцев текущего года выросла к соответствующему периоду предыдущего года на 18,6%, объем совокупной деятельности потребительских кооперативов увеличился на треть. Хозяйствами населения реализовано 44,5 тыс. тонн молока, что на 6,3% больше объемов аналогичного периода прошлого года.</w:t>
      </w:r>
    </w:p>
    <w:p w:rsidR="00316B61" w:rsidRPr="00701503" w:rsidRDefault="00316B61" w:rsidP="00701503">
      <w:pPr>
        <w:ind w:firstLine="0"/>
        <w:rPr>
          <w:sz w:val="28"/>
          <w:szCs w:val="28"/>
          <w:lang w:val="ru-RU"/>
        </w:rPr>
      </w:pPr>
      <w:r>
        <w:rPr>
          <w:sz w:val="28"/>
          <w:szCs w:val="28"/>
          <w:lang w:val="ru-RU"/>
        </w:rPr>
        <w:t xml:space="preserve">        </w:t>
      </w:r>
      <w:r w:rsidRPr="00701503">
        <w:rPr>
          <w:sz w:val="28"/>
          <w:szCs w:val="28"/>
          <w:lang w:val="ru-RU"/>
        </w:rPr>
        <w:t>Завершена уборка зерновых культур, картофеля и овощей. Неблагоприятные погодные условия в период вегетации снизили объемы производства продукции растениеводства. По предварительным данным валовой сбор зерна (в весе после доработки) составил 1229,2 тыс. тонн (80% к уровню прошлого года).</w:t>
      </w:r>
    </w:p>
    <w:p w:rsidR="00316B61" w:rsidRPr="00701503" w:rsidRDefault="00316B61" w:rsidP="00701503">
      <w:pPr>
        <w:ind w:firstLine="0"/>
        <w:rPr>
          <w:sz w:val="28"/>
          <w:szCs w:val="28"/>
          <w:lang w:val="ru-RU"/>
        </w:rPr>
      </w:pPr>
      <w:r>
        <w:rPr>
          <w:sz w:val="28"/>
          <w:szCs w:val="28"/>
          <w:lang w:val="ru-RU"/>
        </w:rPr>
        <w:t xml:space="preserve">        </w:t>
      </w:r>
      <w:r w:rsidRPr="00701503">
        <w:rPr>
          <w:sz w:val="28"/>
          <w:szCs w:val="28"/>
          <w:lang w:val="ru-RU"/>
        </w:rPr>
        <w:t>Для нужд животноводства в зимне-стойловый период 2010-2011 годов сельскохозяйственными организациями области создан необходимый запас грубых и сочных кормов.</w:t>
      </w:r>
    </w:p>
    <w:p w:rsidR="00316B61" w:rsidRPr="00701503" w:rsidRDefault="00316B61" w:rsidP="00701503">
      <w:pPr>
        <w:rPr>
          <w:sz w:val="28"/>
          <w:szCs w:val="28"/>
          <w:lang w:val="ru-RU"/>
        </w:rPr>
      </w:pPr>
      <w:r w:rsidRPr="00701503">
        <w:rPr>
          <w:sz w:val="28"/>
          <w:szCs w:val="28"/>
          <w:lang w:val="ru-RU"/>
        </w:rPr>
        <w:t xml:space="preserve"> </w:t>
      </w:r>
    </w:p>
    <w:p w:rsidR="00316B61" w:rsidRPr="00701503" w:rsidRDefault="00316B61" w:rsidP="00701503">
      <w:pPr>
        <w:jc w:val="center"/>
        <w:rPr>
          <w:b/>
          <w:sz w:val="28"/>
          <w:szCs w:val="28"/>
          <w:lang w:val="ru-RU"/>
        </w:rPr>
      </w:pPr>
      <w:r w:rsidRPr="00701503">
        <w:rPr>
          <w:b/>
          <w:sz w:val="28"/>
          <w:szCs w:val="28"/>
          <w:lang w:val="ru-RU"/>
        </w:rPr>
        <w:t>Строительство</w:t>
      </w:r>
    </w:p>
    <w:p w:rsidR="00316B61" w:rsidRPr="00701503" w:rsidRDefault="00316B61" w:rsidP="00701503">
      <w:pPr>
        <w:ind w:firstLine="0"/>
        <w:rPr>
          <w:sz w:val="28"/>
          <w:szCs w:val="28"/>
          <w:lang w:val="ru-RU"/>
        </w:rPr>
      </w:pPr>
      <w:r>
        <w:rPr>
          <w:sz w:val="28"/>
          <w:szCs w:val="28"/>
          <w:lang w:val="ru-RU"/>
        </w:rPr>
        <w:t xml:space="preserve">        </w:t>
      </w:r>
      <w:r w:rsidRPr="00701503">
        <w:rPr>
          <w:sz w:val="28"/>
          <w:szCs w:val="28"/>
          <w:lang w:val="ru-RU"/>
        </w:rPr>
        <w:t>В январе-сентябре 2010 года организациями, осуществляющими строительную деятельность, выполнено работ собственными силами на сумму 41,8 млрд. рублей, что на 2% (в сопоставимых ценах) выше уровня соответствующего периода предыдущего года.</w:t>
      </w:r>
    </w:p>
    <w:p w:rsidR="00316B61" w:rsidRPr="00701503" w:rsidRDefault="00316B61" w:rsidP="00701503">
      <w:pPr>
        <w:ind w:firstLine="0"/>
        <w:rPr>
          <w:sz w:val="28"/>
          <w:szCs w:val="28"/>
          <w:lang w:val="ru-RU"/>
        </w:rPr>
      </w:pPr>
      <w:r>
        <w:rPr>
          <w:sz w:val="28"/>
          <w:szCs w:val="28"/>
          <w:lang w:val="ru-RU"/>
        </w:rPr>
        <w:t xml:space="preserve">        </w:t>
      </w:r>
      <w:r w:rsidRPr="00701503">
        <w:rPr>
          <w:sz w:val="28"/>
          <w:szCs w:val="28"/>
          <w:lang w:val="ru-RU"/>
        </w:rPr>
        <w:t>Ранее созданные заделы позволяют сохранять высокие объемы ввода жилья. Организациями всех форм собственности введено 898,6 тыс. кв. метров общей площади жилых домов, что на 10,3% превышает аналогичный показатель 2009 года. При этом 33,8% общего объема (303,6 тыс. кв. метров) построено индивидуальными застройщиками (98,9% к соответствующему периоду предыдущего года).</w:t>
      </w:r>
    </w:p>
    <w:p w:rsidR="00316B61" w:rsidRPr="00701503" w:rsidRDefault="00316B61" w:rsidP="00701503">
      <w:pPr>
        <w:ind w:firstLine="0"/>
        <w:rPr>
          <w:sz w:val="28"/>
          <w:szCs w:val="28"/>
          <w:lang w:val="ru-RU"/>
        </w:rPr>
      </w:pPr>
      <w:r>
        <w:rPr>
          <w:sz w:val="28"/>
          <w:szCs w:val="28"/>
          <w:lang w:val="ru-RU"/>
        </w:rPr>
        <w:t xml:space="preserve">        </w:t>
      </w:r>
      <w:r w:rsidRPr="00701503">
        <w:rPr>
          <w:sz w:val="28"/>
          <w:szCs w:val="28"/>
          <w:lang w:val="ru-RU"/>
        </w:rPr>
        <w:t>Развитию индивидуального жилищного строительства способствует выделение во всех муниципальных образованиях области земельных участков, обеспечение инженерными коммуникациями которых ведется за счет средств регионального бюджета.</w:t>
      </w:r>
    </w:p>
    <w:p w:rsidR="00316B61" w:rsidRDefault="00316B61" w:rsidP="00701503">
      <w:pPr>
        <w:ind w:firstLine="0"/>
        <w:rPr>
          <w:sz w:val="28"/>
          <w:szCs w:val="28"/>
          <w:lang w:val="ru-RU"/>
        </w:rPr>
      </w:pPr>
      <w:r>
        <w:rPr>
          <w:sz w:val="28"/>
          <w:szCs w:val="28"/>
          <w:lang w:val="ru-RU"/>
        </w:rPr>
        <w:t xml:space="preserve">        </w:t>
      </w:r>
      <w:r w:rsidRPr="00701503">
        <w:rPr>
          <w:sz w:val="28"/>
          <w:szCs w:val="28"/>
          <w:lang w:val="ru-RU"/>
        </w:rPr>
        <w:t>При содействии Правительства области реализуется ряд крупных инвестиционных проектов по созданию новых, расширению и модернизации действующих предприятий.</w:t>
      </w:r>
    </w:p>
    <w:p w:rsidR="00316B61" w:rsidRDefault="00316B61" w:rsidP="00701503">
      <w:pPr>
        <w:ind w:firstLine="0"/>
        <w:rPr>
          <w:sz w:val="28"/>
          <w:szCs w:val="28"/>
          <w:lang w:val="ru-RU"/>
        </w:rPr>
      </w:pPr>
      <w:r>
        <w:rPr>
          <w:sz w:val="28"/>
          <w:szCs w:val="28"/>
          <w:lang w:val="ru-RU"/>
        </w:rPr>
        <w:t xml:space="preserve">        </w:t>
      </w:r>
      <w:r w:rsidRPr="00701503">
        <w:rPr>
          <w:sz w:val="28"/>
          <w:szCs w:val="28"/>
          <w:lang w:val="ru-RU"/>
        </w:rPr>
        <w:t>За истекший период 2010 года введены в эксплуатацию: новый лесоперерабатывающий завод компании «Загрос» в г.</w:t>
      </w:r>
      <w:r>
        <w:rPr>
          <w:sz w:val="28"/>
          <w:szCs w:val="28"/>
          <w:lang w:val="ru-RU"/>
        </w:rPr>
        <w:t xml:space="preserve"> </w:t>
      </w:r>
      <w:r w:rsidRPr="00701503">
        <w:rPr>
          <w:sz w:val="28"/>
          <w:szCs w:val="28"/>
          <w:lang w:val="ru-RU"/>
        </w:rPr>
        <w:t>Заводоуковске (мощностью до 30 тыс. куб. метров высококачественных пиломатериалов в год при односменном режиме работы); вторая технологическая очередь «Антипинского НПЗ», увеличившая мощности предприятия по первичной переработке нефти до 4 млн. тонн в год.</w:t>
      </w:r>
    </w:p>
    <w:p w:rsidR="00316B61" w:rsidRPr="00701503" w:rsidRDefault="00316B61" w:rsidP="00701503">
      <w:pPr>
        <w:ind w:firstLine="0"/>
        <w:rPr>
          <w:sz w:val="28"/>
          <w:szCs w:val="28"/>
          <w:lang w:val="ru-RU"/>
        </w:rPr>
      </w:pPr>
      <w:r>
        <w:rPr>
          <w:sz w:val="28"/>
          <w:szCs w:val="28"/>
          <w:lang w:val="ru-RU"/>
        </w:rPr>
        <w:t xml:space="preserve">        </w:t>
      </w:r>
      <w:r w:rsidRPr="00701503">
        <w:rPr>
          <w:sz w:val="28"/>
          <w:szCs w:val="28"/>
          <w:lang w:val="ru-RU"/>
        </w:rPr>
        <w:t>Продолжена реализация компанией «ТНК-ВР» Уватского проекта по освоению месторождений нефти. Введено в опытно-промышленную эксплуатацию новое Тямкинское месторождение, строятся вахтовый жилой комплекс и газотурбинная электростанция на Усть-Тегусском месторождении.</w:t>
      </w:r>
    </w:p>
    <w:p w:rsidR="00316B61" w:rsidRPr="00701503" w:rsidRDefault="00316B61" w:rsidP="00701503">
      <w:pPr>
        <w:ind w:firstLine="0"/>
        <w:rPr>
          <w:sz w:val="28"/>
          <w:szCs w:val="28"/>
          <w:lang w:val="ru-RU"/>
        </w:rPr>
      </w:pPr>
      <w:r>
        <w:rPr>
          <w:sz w:val="28"/>
          <w:szCs w:val="28"/>
          <w:lang w:val="ru-RU"/>
        </w:rPr>
        <w:t xml:space="preserve">       </w:t>
      </w:r>
      <w:r w:rsidRPr="00701503">
        <w:rPr>
          <w:sz w:val="28"/>
          <w:szCs w:val="28"/>
          <w:lang w:val="ru-RU"/>
        </w:rPr>
        <w:t>Компанией «Тобольск-Полимер» продолжено строительство первой очереди комплекса нефтехимических производств в г. Тобольске, предусматривающей организацию выпуска более 500 тыс. тонн полипропилена в год. Осуществляется строительство новых электрогенерирующих мощностей в городах Тюмени и Тобольске. Ведутся работы по строительству и реконструкции сооружений коммунальной инфраструктуры для обеспечения централизованного доступа жителей области к соответствующим услугам. Продолжается газификация населенных пунктов области.</w:t>
      </w:r>
    </w:p>
    <w:p w:rsidR="00316B61" w:rsidRPr="00701503" w:rsidRDefault="00316B61" w:rsidP="00701503">
      <w:pPr>
        <w:ind w:firstLine="0"/>
        <w:rPr>
          <w:sz w:val="28"/>
          <w:szCs w:val="28"/>
          <w:lang w:val="ru-RU"/>
        </w:rPr>
      </w:pPr>
      <w:r>
        <w:rPr>
          <w:sz w:val="28"/>
          <w:szCs w:val="28"/>
          <w:lang w:val="ru-RU"/>
        </w:rPr>
        <w:t xml:space="preserve">        </w:t>
      </w:r>
      <w:r w:rsidRPr="00701503">
        <w:rPr>
          <w:sz w:val="28"/>
          <w:szCs w:val="28"/>
          <w:lang w:val="ru-RU"/>
        </w:rPr>
        <w:t>Приоритетным инвестиционным направлением остается социальная сфера региона. В городах и районах области за счет средств бюджета строятся объекты здравоохранения, образования, спортивные сооружения. Проводится реконструкция и реставрация памятников истории и культуры.</w:t>
      </w:r>
    </w:p>
    <w:p w:rsidR="00316B61" w:rsidRPr="00701503" w:rsidRDefault="00316B61" w:rsidP="00701503">
      <w:pPr>
        <w:rPr>
          <w:sz w:val="28"/>
          <w:szCs w:val="28"/>
          <w:lang w:val="ru-RU"/>
        </w:rPr>
      </w:pPr>
      <w:r w:rsidRPr="00701503">
        <w:rPr>
          <w:sz w:val="28"/>
          <w:szCs w:val="28"/>
          <w:lang w:val="ru-RU"/>
        </w:rPr>
        <w:t xml:space="preserve"> </w:t>
      </w:r>
    </w:p>
    <w:p w:rsidR="00316B61" w:rsidRPr="00701503" w:rsidRDefault="00316B61" w:rsidP="00701503">
      <w:pPr>
        <w:jc w:val="center"/>
        <w:rPr>
          <w:b/>
          <w:sz w:val="28"/>
          <w:szCs w:val="28"/>
          <w:lang w:val="ru-RU"/>
        </w:rPr>
      </w:pPr>
      <w:r w:rsidRPr="00701503">
        <w:rPr>
          <w:b/>
          <w:sz w:val="28"/>
          <w:szCs w:val="28"/>
          <w:lang w:val="ru-RU"/>
        </w:rPr>
        <w:t>Малый бизнес</w:t>
      </w:r>
    </w:p>
    <w:p w:rsidR="00316B61" w:rsidRPr="00701503" w:rsidRDefault="00316B61" w:rsidP="00701503">
      <w:pPr>
        <w:ind w:firstLine="0"/>
        <w:rPr>
          <w:sz w:val="28"/>
          <w:szCs w:val="28"/>
          <w:lang w:val="ru-RU"/>
        </w:rPr>
      </w:pPr>
      <w:r>
        <w:rPr>
          <w:sz w:val="28"/>
          <w:szCs w:val="28"/>
          <w:lang w:val="ru-RU"/>
        </w:rPr>
        <w:t xml:space="preserve">        </w:t>
      </w:r>
      <w:r w:rsidRPr="00701503">
        <w:rPr>
          <w:sz w:val="28"/>
          <w:szCs w:val="28"/>
          <w:lang w:val="ru-RU"/>
        </w:rPr>
        <w:t>По данным Тюменьстата, по состоянию на конец 2009 года на территории Тюменской области (без автономных округов) зарегистрировано 54832 субъекта малого предпринимательства, из них 17592 малых (включая микро) предприятия и 37240 индивидуальных предпринимателей.</w:t>
      </w:r>
    </w:p>
    <w:p w:rsidR="00316B61" w:rsidRPr="00701503" w:rsidRDefault="00316B61" w:rsidP="00701503">
      <w:pPr>
        <w:ind w:firstLine="0"/>
        <w:rPr>
          <w:sz w:val="28"/>
          <w:szCs w:val="28"/>
          <w:lang w:val="ru-RU"/>
        </w:rPr>
      </w:pPr>
      <w:r>
        <w:rPr>
          <w:sz w:val="28"/>
          <w:szCs w:val="28"/>
          <w:lang w:val="ru-RU"/>
        </w:rPr>
        <w:t xml:space="preserve">        </w:t>
      </w:r>
      <w:r w:rsidRPr="00701503">
        <w:rPr>
          <w:sz w:val="28"/>
          <w:szCs w:val="28"/>
          <w:lang w:val="ru-RU"/>
        </w:rPr>
        <w:t>На территориях городов и муниципальных образований функционируют 26 территориальных представительств Фонда развития и поддержки предпринимательства, где организованы опорно-консультационные пункты. Развивается компьютерная сеть, соединяющая все территориальные представительства в единую информационную базу данных с использованием возможностей Интернет-связи. Кроме того, через них контролируется эффективность и целевое использование займов, своевременная уплата процентов и возврат основного долга со стороны заемщиков.</w:t>
      </w:r>
    </w:p>
    <w:p w:rsidR="00316B61" w:rsidRPr="00701503" w:rsidRDefault="00316B61" w:rsidP="00701503">
      <w:pPr>
        <w:ind w:firstLine="0"/>
        <w:rPr>
          <w:sz w:val="28"/>
          <w:szCs w:val="28"/>
          <w:lang w:val="ru-RU"/>
        </w:rPr>
      </w:pPr>
      <w:r>
        <w:rPr>
          <w:sz w:val="28"/>
          <w:szCs w:val="28"/>
          <w:lang w:val="ru-RU"/>
        </w:rPr>
        <w:t xml:space="preserve">        </w:t>
      </w:r>
      <w:r w:rsidRPr="00701503">
        <w:rPr>
          <w:sz w:val="28"/>
          <w:szCs w:val="28"/>
          <w:lang w:val="ru-RU"/>
        </w:rPr>
        <w:t>За 9 месяцев текущего года субъектам малого и среднего предпринимательства при государственной поддержке из областного бюджета различными некоммерческими организациями оказано свыше 19 тысяч консультационных, бухгалтерских, юридических услуг, проведено 82 семинара по различным тематическим направлениям. Происходит размещение резидентов в бизнес-инкубаторах городов Тюмени и Тобольска. Действует Гарантийный фонд, за 9 месяцев 2010 года поручительства предоставлены 41 субъекту малого и среднего бизнеса.</w:t>
      </w:r>
    </w:p>
    <w:p w:rsidR="00316B61" w:rsidRPr="00701503" w:rsidRDefault="00316B61" w:rsidP="00701503">
      <w:pPr>
        <w:rPr>
          <w:sz w:val="28"/>
          <w:szCs w:val="28"/>
          <w:lang w:val="ru-RU"/>
        </w:rPr>
      </w:pPr>
      <w:r w:rsidRPr="00701503">
        <w:rPr>
          <w:sz w:val="28"/>
          <w:szCs w:val="28"/>
          <w:lang w:val="ru-RU"/>
        </w:rPr>
        <w:t xml:space="preserve"> </w:t>
      </w:r>
    </w:p>
    <w:p w:rsidR="00316B61" w:rsidRPr="00701503" w:rsidRDefault="00316B61" w:rsidP="00701503">
      <w:pPr>
        <w:jc w:val="center"/>
        <w:rPr>
          <w:b/>
          <w:sz w:val="28"/>
          <w:szCs w:val="28"/>
          <w:lang w:val="ru-RU"/>
        </w:rPr>
      </w:pPr>
      <w:r w:rsidRPr="00701503">
        <w:rPr>
          <w:b/>
          <w:sz w:val="28"/>
          <w:szCs w:val="28"/>
          <w:lang w:val="ru-RU"/>
        </w:rPr>
        <w:t>Цены</w:t>
      </w:r>
    </w:p>
    <w:p w:rsidR="00316B61" w:rsidRPr="00701503" w:rsidRDefault="00316B61" w:rsidP="006E03AA">
      <w:pPr>
        <w:ind w:firstLine="0"/>
        <w:rPr>
          <w:sz w:val="28"/>
          <w:szCs w:val="28"/>
          <w:lang w:val="ru-RU"/>
        </w:rPr>
      </w:pPr>
      <w:r>
        <w:rPr>
          <w:sz w:val="28"/>
          <w:szCs w:val="28"/>
          <w:lang w:val="ru-RU"/>
        </w:rPr>
        <w:t xml:space="preserve">        </w:t>
      </w:r>
      <w:r w:rsidRPr="00701503">
        <w:rPr>
          <w:sz w:val="28"/>
          <w:szCs w:val="28"/>
          <w:lang w:val="ru-RU"/>
        </w:rPr>
        <w:t>Индекс потребительских цен в сентябре 2010 года к декабрю предыдущего года составил 105,8%, тогда как годом ранее  108,8%. При этом цены на продовольственные товары повысились на 5,4%, непродовольственные товары - на 3,7%.</w:t>
      </w:r>
    </w:p>
    <w:p w:rsidR="00316B61" w:rsidRDefault="00316B61" w:rsidP="006E03AA">
      <w:pPr>
        <w:ind w:firstLine="0"/>
        <w:rPr>
          <w:sz w:val="28"/>
          <w:szCs w:val="28"/>
          <w:lang w:val="ru-RU"/>
        </w:rPr>
      </w:pPr>
      <w:r>
        <w:rPr>
          <w:sz w:val="28"/>
          <w:szCs w:val="28"/>
          <w:lang w:val="ru-RU"/>
        </w:rPr>
        <w:t xml:space="preserve">        </w:t>
      </w:r>
      <w:r w:rsidRPr="00701503">
        <w:rPr>
          <w:sz w:val="28"/>
          <w:szCs w:val="28"/>
          <w:lang w:val="ru-RU"/>
        </w:rPr>
        <w:t>Из продовольственных товаров наиболее существенно подорожала плодоовощная продукция - на 26,7%, крупа и бобовые - на 17,6%, в наименьшей степени рыба и морепродукты - на 0,9%, мясо и птица - на 2,1%, хлеб и хлебобулочные изделия - на 3,9%.</w:t>
      </w:r>
      <w:r>
        <w:rPr>
          <w:sz w:val="28"/>
          <w:szCs w:val="28"/>
          <w:lang w:val="ru-RU"/>
        </w:rPr>
        <w:t xml:space="preserve"> </w:t>
      </w:r>
    </w:p>
    <w:p w:rsidR="00316B61" w:rsidRPr="00701503" w:rsidRDefault="00316B61" w:rsidP="006E03AA">
      <w:pPr>
        <w:ind w:firstLine="0"/>
        <w:rPr>
          <w:sz w:val="28"/>
          <w:szCs w:val="28"/>
          <w:lang w:val="ru-RU"/>
        </w:rPr>
      </w:pPr>
      <w:r>
        <w:rPr>
          <w:sz w:val="28"/>
          <w:szCs w:val="28"/>
          <w:lang w:val="ru-RU"/>
        </w:rPr>
        <w:t xml:space="preserve">        </w:t>
      </w:r>
      <w:r w:rsidRPr="00701503">
        <w:rPr>
          <w:sz w:val="28"/>
          <w:szCs w:val="28"/>
          <w:lang w:val="ru-RU"/>
        </w:rPr>
        <w:t>Снижение цен наблюдалось  на макаронные изделия - на 4,4%, яйцо куриное - на 1%, масло подсолнечное - на 0,2%.</w:t>
      </w:r>
    </w:p>
    <w:p w:rsidR="00316B61" w:rsidRPr="00701503" w:rsidRDefault="00316B61" w:rsidP="006E03AA">
      <w:pPr>
        <w:ind w:firstLine="0"/>
        <w:rPr>
          <w:sz w:val="28"/>
          <w:szCs w:val="28"/>
          <w:lang w:val="ru-RU"/>
        </w:rPr>
      </w:pPr>
      <w:r>
        <w:rPr>
          <w:sz w:val="28"/>
          <w:szCs w:val="28"/>
          <w:lang w:val="ru-RU"/>
        </w:rPr>
        <w:t xml:space="preserve">        </w:t>
      </w:r>
      <w:r w:rsidRPr="00701503">
        <w:rPr>
          <w:sz w:val="28"/>
          <w:szCs w:val="28"/>
          <w:lang w:val="ru-RU"/>
        </w:rPr>
        <w:t>На платные услуги населению рост цен и тарифов за 9 месяцев 2010 года составил 10,2% (за аналогичный период прошлого года - 10,6%).</w:t>
      </w:r>
    </w:p>
    <w:p w:rsidR="00316B61" w:rsidRPr="00701503" w:rsidRDefault="00316B61" w:rsidP="00701503">
      <w:pPr>
        <w:rPr>
          <w:sz w:val="28"/>
          <w:szCs w:val="28"/>
          <w:lang w:val="ru-RU"/>
        </w:rPr>
      </w:pPr>
      <w:r w:rsidRPr="00701503">
        <w:rPr>
          <w:sz w:val="28"/>
          <w:szCs w:val="28"/>
          <w:lang w:val="ru-RU"/>
        </w:rPr>
        <w:t xml:space="preserve"> </w:t>
      </w:r>
    </w:p>
    <w:p w:rsidR="00316B61" w:rsidRPr="00701503" w:rsidRDefault="00316B61" w:rsidP="00701503">
      <w:pPr>
        <w:jc w:val="center"/>
        <w:rPr>
          <w:b/>
          <w:sz w:val="28"/>
          <w:szCs w:val="28"/>
          <w:lang w:val="ru-RU"/>
        </w:rPr>
      </w:pPr>
      <w:r w:rsidRPr="00701503">
        <w:rPr>
          <w:b/>
          <w:sz w:val="28"/>
          <w:szCs w:val="28"/>
          <w:lang w:val="ru-RU"/>
        </w:rPr>
        <w:t>Потребительский рынок</w:t>
      </w:r>
    </w:p>
    <w:p w:rsidR="00316B61" w:rsidRPr="00701503" w:rsidRDefault="00316B61" w:rsidP="006E03AA">
      <w:pPr>
        <w:ind w:firstLine="0"/>
        <w:rPr>
          <w:sz w:val="28"/>
          <w:szCs w:val="28"/>
          <w:lang w:val="ru-RU"/>
        </w:rPr>
      </w:pPr>
      <w:r>
        <w:rPr>
          <w:sz w:val="28"/>
          <w:szCs w:val="28"/>
          <w:lang w:val="ru-RU"/>
        </w:rPr>
        <w:t xml:space="preserve">        </w:t>
      </w:r>
      <w:r w:rsidRPr="00701503">
        <w:rPr>
          <w:sz w:val="28"/>
          <w:szCs w:val="28"/>
          <w:lang w:val="ru-RU"/>
        </w:rPr>
        <w:t>С марта текущего года отмечается тенденция постепенного увеличения потребительского спроса. За январь-сентябрь 2010 года оборот розничной торговли увеличился в сопоставимых ценах к аналогичному периоду прошлого года на 3,1%. Объем оборота розничной торговли составил в целом 121,2 млрд. рублей,   в расчете  душу населения - 90,4 тыс. рублей.</w:t>
      </w:r>
    </w:p>
    <w:p w:rsidR="00316B61" w:rsidRPr="00701503" w:rsidRDefault="00316B61" w:rsidP="00701503">
      <w:pPr>
        <w:rPr>
          <w:sz w:val="28"/>
          <w:szCs w:val="28"/>
          <w:lang w:val="ru-RU"/>
        </w:rPr>
      </w:pPr>
      <w:r w:rsidRPr="00701503">
        <w:rPr>
          <w:sz w:val="28"/>
          <w:szCs w:val="28"/>
          <w:lang w:val="ru-RU"/>
        </w:rPr>
        <w:t>Для продвижения продукции тюменских товаропроизводителей с ноября 2009 года проводится широкомасштабная акция «Покупаем Тюменское!», которую поддержало более 1300 предприятий торговли во всех муниципальных образованиях области. Среди них крупные торговые сети «Лента», «Перекресток», «Мосмарт», «Мегамарт», «Пчелка», «Монетка», в которых заметно возрос объем продаж товаров местного производства.</w:t>
      </w:r>
    </w:p>
    <w:p w:rsidR="00316B61" w:rsidRPr="00701503" w:rsidRDefault="00316B61" w:rsidP="006E03AA">
      <w:pPr>
        <w:ind w:firstLine="0"/>
        <w:rPr>
          <w:sz w:val="28"/>
          <w:szCs w:val="28"/>
          <w:lang w:val="ru-RU"/>
        </w:rPr>
      </w:pPr>
      <w:r>
        <w:rPr>
          <w:sz w:val="28"/>
          <w:szCs w:val="28"/>
          <w:lang w:val="ru-RU"/>
        </w:rPr>
        <w:t xml:space="preserve">        </w:t>
      </w:r>
      <w:r w:rsidRPr="00701503">
        <w:rPr>
          <w:sz w:val="28"/>
          <w:szCs w:val="28"/>
          <w:lang w:val="ru-RU"/>
        </w:rPr>
        <w:t>Оборот общественного питания снизился по сравнению с соответствующим периодом прошлого года на 4,4% и составил 8,2 млрд. рублей.</w:t>
      </w:r>
    </w:p>
    <w:p w:rsidR="00316B61" w:rsidRPr="00701503" w:rsidRDefault="00316B61" w:rsidP="006E03AA">
      <w:pPr>
        <w:ind w:firstLine="0"/>
        <w:rPr>
          <w:sz w:val="28"/>
          <w:szCs w:val="28"/>
          <w:lang w:val="ru-RU"/>
        </w:rPr>
      </w:pPr>
      <w:r>
        <w:rPr>
          <w:sz w:val="28"/>
          <w:szCs w:val="28"/>
          <w:lang w:val="ru-RU"/>
        </w:rPr>
        <w:t xml:space="preserve">         </w:t>
      </w:r>
      <w:r w:rsidRPr="00701503">
        <w:rPr>
          <w:sz w:val="28"/>
          <w:szCs w:val="28"/>
          <w:lang w:val="ru-RU"/>
        </w:rPr>
        <w:t>Населению области оказано платных услуг на сумму 34,2 млрд. рублей, темп роста в сопоставимых ценах - 102,7%. На душу населения оказано платных услуг на сумму 25,4 тыс. рублей.</w:t>
      </w:r>
    </w:p>
    <w:p w:rsidR="00316B61" w:rsidRPr="00701503" w:rsidRDefault="00316B61" w:rsidP="006E03AA">
      <w:pPr>
        <w:ind w:firstLine="0"/>
        <w:rPr>
          <w:sz w:val="28"/>
          <w:szCs w:val="28"/>
          <w:lang w:val="ru-RU"/>
        </w:rPr>
      </w:pPr>
      <w:r>
        <w:rPr>
          <w:sz w:val="28"/>
          <w:szCs w:val="28"/>
          <w:lang w:val="ru-RU"/>
        </w:rPr>
        <w:t xml:space="preserve">        </w:t>
      </w:r>
      <w:r w:rsidRPr="00701503">
        <w:rPr>
          <w:sz w:val="28"/>
          <w:szCs w:val="28"/>
          <w:lang w:val="ru-RU"/>
        </w:rPr>
        <w:t>Наблюдается рост физического объема услуг связи, правового характера, системы образования, культуры, бытовых, медицинских, ветеринарных и туристских услуг.</w:t>
      </w:r>
    </w:p>
    <w:p w:rsidR="00316B61" w:rsidRPr="00701503" w:rsidRDefault="00316B61" w:rsidP="00701503">
      <w:pPr>
        <w:rPr>
          <w:sz w:val="28"/>
          <w:szCs w:val="28"/>
          <w:lang w:val="ru-RU"/>
        </w:rPr>
      </w:pPr>
      <w:r w:rsidRPr="00701503">
        <w:rPr>
          <w:sz w:val="28"/>
          <w:szCs w:val="28"/>
          <w:lang w:val="ru-RU"/>
        </w:rPr>
        <w:t xml:space="preserve"> </w:t>
      </w:r>
    </w:p>
    <w:p w:rsidR="00316B61" w:rsidRPr="00701503" w:rsidRDefault="00316B61" w:rsidP="00701503">
      <w:pPr>
        <w:jc w:val="center"/>
        <w:rPr>
          <w:b/>
          <w:sz w:val="28"/>
          <w:szCs w:val="28"/>
          <w:lang w:val="ru-RU"/>
        </w:rPr>
      </w:pPr>
      <w:r w:rsidRPr="00701503">
        <w:rPr>
          <w:b/>
          <w:sz w:val="28"/>
          <w:szCs w:val="28"/>
          <w:lang w:val="ru-RU"/>
        </w:rPr>
        <w:t>Рынок труда</w:t>
      </w:r>
    </w:p>
    <w:p w:rsidR="00316B61" w:rsidRPr="00701503" w:rsidRDefault="00316B61" w:rsidP="006E03AA">
      <w:pPr>
        <w:ind w:firstLine="0"/>
        <w:rPr>
          <w:sz w:val="28"/>
          <w:szCs w:val="28"/>
          <w:lang w:val="ru-RU"/>
        </w:rPr>
      </w:pPr>
      <w:r>
        <w:rPr>
          <w:sz w:val="28"/>
          <w:szCs w:val="28"/>
          <w:lang w:val="ru-RU"/>
        </w:rPr>
        <w:t xml:space="preserve">         </w:t>
      </w:r>
      <w:r w:rsidRPr="00701503">
        <w:rPr>
          <w:sz w:val="28"/>
          <w:szCs w:val="28"/>
          <w:lang w:val="ru-RU"/>
        </w:rPr>
        <w:t>На 01.10.2010 года численность зарегистрированных безработных составила 4,8 тыс. человек, что на 1,1 тыс. человек меньше, чем на аналогичную дату прошлого года. Уровень регистрируемой безработицы составил 0,7% от численности экономически активного населения при 0,83% на соответствующую дату предыдущего года. Коэффициент напряженности на рынке рабочей силы - 0,4 человека на 1 вакансию.</w:t>
      </w:r>
    </w:p>
    <w:p w:rsidR="00316B61" w:rsidRPr="00701503" w:rsidRDefault="00316B61" w:rsidP="00701503">
      <w:pPr>
        <w:rPr>
          <w:sz w:val="28"/>
          <w:szCs w:val="28"/>
          <w:lang w:val="ru-RU"/>
        </w:rPr>
      </w:pPr>
      <w:r w:rsidRPr="00701503">
        <w:rPr>
          <w:sz w:val="28"/>
          <w:szCs w:val="28"/>
          <w:lang w:val="ru-RU"/>
        </w:rPr>
        <w:t xml:space="preserve"> </w:t>
      </w:r>
    </w:p>
    <w:p w:rsidR="00316B61" w:rsidRPr="00701503" w:rsidRDefault="00316B61" w:rsidP="00701503">
      <w:pPr>
        <w:jc w:val="center"/>
        <w:rPr>
          <w:b/>
          <w:sz w:val="28"/>
          <w:szCs w:val="28"/>
          <w:lang w:val="ru-RU"/>
        </w:rPr>
      </w:pPr>
      <w:r w:rsidRPr="00701503">
        <w:rPr>
          <w:b/>
          <w:sz w:val="28"/>
          <w:szCs w:val="28"/>
          <w:lang w:val="ru-RU"/>
        </w:rPr>
        <w:t>Уровень жизни населения</w:t>
      </w:r>
    </w:p>
    <w:p w:rsidR="00316B61" w:rsidRPr="00701503" w:rsidRDefault="00316B61" w:rsidP="006E03AA">
      <w:pPr>
        <w:ind w:firstLine="0"/>
        <w:rPr>
          <w:sz w:val="28"/>
          <w:szCs w:val="28"/>
          <w:lang w:val="ru-RU"/>
        </w:rPr>
      </w:pPr>
      <w:r>
        <w:rPr>
          <w:sz w:val="28"/>
          <w:szCs w:val="28"/>
          <w:lang w:val="ru-RU"/>
        </w:rPr>
        <w:t xml:space="preserve">        </w:t>
      </w:r>
      <w:r w:rsidRPr="00701503">
        <w:rPr>
          <w:sz w:val="28"/>
          <w:szCs w:val="28"/>
          <w:lang w:val="ru-RU"/>
        </w:rPr>
        <w:t>Денежные доходы населения в расчете на одного жителя за январь-сентябрь 2010 года составили 16,5 тыс. рублей и выросли по сравнению с аналогичным периодом 2009 года на 1,5%. Реальные располагаемые денежные доходы населения относительно соответствующего периода 2009 года снизились на 2,9%.</w:t>
      </w:r>
    </w:p>
    <w:p w:rsidR="00316B61" w:rsidRPr="00701503" w:rsidRDefault="00316B61" w:rsidP="00701503">
      <w:pPr>
        <w:rPr>
          <w:sz w:val="28"/>
          <w:szCs w:val="28"/>
          <w:lang w:val="ru-RU"/>
        </w:rPr>
      </w:pPr>
      <w:r w:rsidRPr="00701503">
        <w:rPr>
          <w:sz w:val="28"/>
          <w:szCs w:val="28"/>
          <w:lang w:val="ru-RU"/>
        </w:rPr>
        <w:t>Номинальная среднемесячная заработная плата за январь-сентябрь составила 21,5 тыс. рублей и на 10,7% превысила уровень аналогичного периода 2009 года. Реальная заработная плата возросла на 4%.</w:t>
      </w:r>
    </w:p>
    <w:p w:rsidR="00316B61" w:rsidRPr="00701503" w:rsidRDefault="00316B61" w:rsidP="00701503">
      <w:pPr>
        <w:rPr>
          <w:sz w:val="28"/>
          <w:szCs w:val="28"/>
          <w:lang w:val="ru-RU"/>
        </w:rPr>
      </w:pPr>
      <w:r w:rsidRPr="00701503">
        <w:rPr>
          <w:sz w:val="28"/>
          <w:szCs w:val="28"/>
          <w:lang w:val="ru-RU"/>
        </w:rPr>
        <w:t xml:space="preserve"> </w:t>
      </w:r>
    </w:p>
    <w:p w:rsidR="00316B61" w:rsidRPr="00701503" w:rsidRDefault="00316B61" w:rsidP="00701503">
      <w:pPr>
        <w:jc w:val="center"/>
        <w:rPr>
          <w:b/>
          <w:sz w:val="28"/>
          <w:szCs w:val="28"/>
          <w:lang w:val="ru-RU"/>
        </w:rPr>
      </w:pPr>
      <w:r w:rsidRPr="00701503">
        <w:rPr>
          <w:b/>
          <w:sz w:val="28"/>
          <w:szCs w:val="28"/>
          <w:lang w:val="ru-RU"/>
        </w:rPr>
        <w:t>Демография</w:t>
      </w:r>
    </w:p>
    <w:p w:rsidR="00316B61" w:rsidRPr="00701503" w:rsidRDefault="00316B61" w:rsidP="006E03AA">
      <w:pPr>
        <w:ind w:firstLine="0"/>
        <w:rPr>
          <w:sz w:val="28"/>
          <w:szCs w:val="28"/>
          <w:lang w:val="ru-RU"/>
        </w:rPr>
      </w:pPr>
      <w:r>
        <w:rPr>
          <w:sz w:val="28"/>
          <w:szCs w:val="28"/>
          <w:lang w:val="ru-RU"/>
        </w:rPr>
        <w:t xml:space="preserve">       </w:t>
      </w:r>
      <w:r w:rsidRPr="00701503">
        <w:rPr>
          <w:sz w:val="28"/>
          <w:szCs w:val="28"/>
          <w:lang w:val="ru-RU"/>
        </w:rPr>
        <w:t xml:space="preserve">По предварительным данным, численность населения региона на            </w:t>
      </w:r>
    </w:p>
    <w:p w:rsidR="00316B61" w:rsidRPr="00701503" w:rsidRDefault="00316B61" w:rsidP="00701503">
      <w:pPr>
        <w:rPr>
          <w:sz w:val="28"/>
          <w:szCs w:val="28"/>
          <w:lang w:val="ru-RU"/>
        </w:rPr>
      </w:pPr>
      <w:r w:rsidRPr="00701503">
        <w:rPr>
          <w:sz w:val="28"/>
          <w:szCs w:val="28"/>
          <w:lang w:val="ru-RU"/>
        </w:rPr>
        <w:t xml:space="preserve">1 октября 2010 года составила </w:t>
      </w:r>
      <w:r>
        <w:rPr>
          <w:sz w:val="28"/>
          <w:szCs w:val="28"/>
          <w:lang w:val="ru-RU"/>
        </w:rPr>
        <w:t>3430</w:t>
      </w:r>
      <w:r w:rsidRPr="00701503">
        <w:rPr>
          <w:sz w:val="28"/>
          <w:szCs w:val="28"/>
          <w:lang w:val="ru-RU"/>
        </w:rPr>
        <w:t>,3 тыс. человек и увеличилась по сравнению с соответствующей датой предыдущего года на 0,8%.</w:t>
      </w:r>
    </w:p>
    <w:p w:rsidR="00316B61" w:rsidRPr="00701503" w:rsidRDefault="00316B61" w:rsidP="006E03AA">
      <w:pPr>
        <w:ind w:firstLine="0"/>
        <w:rPr>
          <w:sz w:val="28"/>
          <w:szCs w:val="28"/>
          <w:lang w:val="ru-RU"/>
        </w:rPr>
      </w:pPr>
      <w:r>
        <w:rPr>
          <w:sz w:val="28"/>
          <w:szCs w:val="28"/>
          <w:lang w:val="ru-RU"/>
        </w:rPr>
        <w:t xml:space="preserve">        </w:t>
      </w:r>
      <w:r w:rsidRPr="00701503">
        <w:rPr>
          <w:sz w:val="28"/>
          <w:szCs w:val="28"/>
          <w:lang w:val="ru-RU"/>
        </w:rPr>
        <w:t>Росту численности населения способствует положительная тенденция превышения рождаемости (темп роста - 101,7%) над смертностью (100,7%). Естественный прирост населения составил 3059 человек, что на 6,1% выше аналогичного прошлогоднего показателя. Сохраняется также положительное миграционное сальдо. Миграционный прирост за январь-сентябрь текущего года составил 6060 человек, что на 23,4% больше, чем за 9 месяцев 2009 года.</w:t>
      </w:r>
    </w:p>
    <w:p w:rsidR="00316B61" w:rsidRPr="00701503" w:rsidRDefault="00316B61" w:rsidP="00701503">
      <w:pPr>
        <w:rPr>
          <w:sz w:val="28"/>
          <w:szCs w:val="28"/>
          <w:lang w:val="ru-RU"/>
        </w:rPr>
      </w:pPr>
      <w:r w:rsidRPr="00701503">
        <w:rPr>
          <w:sz w:val="28"/>
          <w:szCs w:val="28"/>
          <w:lang w:val="ru-RU"/>
        </w:rPr>
        <w:t xml:space="preserve"> </w:t>
      </w:r>
    </w:p>
    <w:p w:rsidR="00316B61" w:rsidRPr="00701503" w:rsidRDefault="00316B61" w:rsidP="00701503">
      <w:pPr>
        <w:jc w:val="center"/>
        <w:rPr>
          <w:b/>
          <w:sz w:val="28"/>
          <w:szCs w:val="28"/>
          <w:lang w:val="ru-RU"/>
        </w:rPr>
      </w:pPr>
      <w:r w:rsidRPr="00701503">
        <w:rPr>
          <w:b/>
          <w:sz w:val="28"/>
          <w:szCs w:val="28"/>
          <w:lang w:val="ru-RU"/>
        </w:rPr>
        <w:t>Социальная сфера</w:t>
      </w:r>
    </w:p>
    <w:p w:rsidR="00316B61" w:rsidRPr="00701503" w:rsidRDefault="00316B61" w:rsidP="006E03AA">
      <w:pPr>
        <w:ind w:firstLine="0"/>
        <w:rPr>
          <w:sz w:val="28"/>
          <w:szCs w:val="28"/>
          <w:lang w:val="ru-RU"/>
        </w:rPr>
      </w:pPr>
      <w:r>
        <w:rPr>
          <w:sz w:val="28"/>
          <w:szCs w:val="28"/>
          <w:lang w:val="ru-RU"/>
        </w:rPr>
        <w:t xml:space="preserve">         </w:t>
      </w:r>
      <w:r w:rsidRPr="00701503">
        <w:rPr>
          <w:sz w:val="28"/>
          <w:szCs w:val="28"/>
          <w:lang w:val="ru-RU"/>
        </w:rPr>
        <w:t xml:space="preserve"> Деятельность отраслей социальной сферы осуществляется в рамках областных целевых программ, направленных на создание необходимых условий для повышения качества жизни населения области.</w:t>
      </w:r>
    </w:p>
    <w:p w:rsidR="00316B61" w:rsidRPr="00701503" w:rsidRDefault="00316B61" w:rsidP="00701503">
      <w:pPr>
        <w:rPr>
          <w:sz w:val="28"/>
          <w:szCs w:val="28"/>
          <w:lang w:val="ru-RU"/>
        </w:rPr>
      </w:pPr>
      <w:r w:rsidRPr="00701503">
        <w:rPr>
          <w:sz w:val="28"/>
          <w:szCs w:val="28"/>
          <w:lang w:val="ru-RU"/>
        </w:rPr>
        <w:t>В сфере образования за счет средств областного бюджета ведется строительство новых школ, выполняются необходимые ремонтные работы, приобретается новое оборудование. К началу 2010-2011 учебного года построены 3 школы, до конца года ожидается ввод ещё одной школы. В соответствии с потребностью обновляется парк школьных автобусов.</w:t>
      </w:r>
    </w:p>
    <w:p w:rsidR="00316B61" w:rsidRPr="00701503" w:rsidRDefault="00316B61" w:rsidP="00701503">
      <w:pPr>
        <w:rPr>
          <w:sz w:val="28"/>
          <w:szCs w:val="28"/>
          <w:lang w:val="ru-RU"/>
        </w:rPr>
      </w:pPr>
      <w:r w:rsidRPr="00701503">
        <w:rPr>
          <w:sz w:val="28"/>
          <w:szCs w:val="28"/>
          <w:lang w:val="ru-RU"/>
        </w:rPr>
        <w:t>Продолжается работа по освоению и внедрению в учебный процесс электронных образовательных ресурсов. Все образовательные учреждения оснащены компьютерным оборудованием и подключены к сети Интернет.</w:t>
      </w:r>
    </w:p>
    <w:p w:rsidR="00316B61" w:rsidRPr="00701503" w:rsidRDefault="00316B61" w:rsidP="006E03AA">
      <w:pPr>
        <w:ind w:firstLine="0"/>
        <w:rPr>
          <w:sz w:val="28"/>
          <w:szCs w:val="28"/>
          <w:lang w:val="ru-RU"/>
        </w:rPr>
      </w:pPr>
      <w:r>
        <w:rPr>
          <w:sz w:val="28"/>
          <w:szCs w:val="28"/>
          <w:lang w:val="ru-RU"/>
        </w:rPr>
        <w:t xml:space="preserve">        </w:t>
      </w:r>
      <w:r w:rsidRPr="00701503">
        <w:rPr>
          <w:sz w:val="28"/>
          <w:szCs w:val="28"/>
          <w:lang w:val="ru-RU"/>
        </w:rPr>
        <w:t>Организована работа по реализации национальной образовательной инициативы «Наша новая школа». Ведется научно-методическая и информационно-разъяснительная работа по внедрению новых образовательных стандартов, определены школы - пилотные  площадки.</w:t>
      </w:r>
    </w:p>
    <w:p w:rsidR="00316B61" w:rsidRPr="00701503" w:rsidRDefault="00316B61" w:rsidP="00701503">
      <w:pPr>
        <w:rPr>
          <w:sz w:val="28"/>
          <w:szCs w:val="28"/>
          <w:lang w:val="ru-RU"/>
        </w:rPr>
      </w:pPr>
      <w:r w:rsidRPr="00701503">
        <w:rPr>
          <w:sz w:val="28"/>
          <w:szCs w:val="28"/>
          <w:lang w:val="ru-RU"/>
        </w:rPr>
        <w:t>Одним из приоритетных направлений деятельности Правительства области в социальной сфере является демографическая политика, в рамках которой решаются задачи по снижению смертности, сохранению здоровья населения, повышению рождаемости.</w:t>
      </w:r>
    </w:p>
    <w:p w:rsidR="00316B61" w:rsidRPr="00701503" w:rsidRDefault="00316B61" w:rsidP="00701503">
      <w:pPr>
        <w:rPr>
          <w:sz w:val="28"/>
          <w:szCs w:val="28"/>
          <w:lang w:val="ru-RU"/>
        </w:rPr>
      </w:pPr>
      <w:r w:rsidRPr="00701503">
        <w:rPr>
          <w:sz w:val="28"/>
          <w:szCs w:val="28"/>
          <w:lang w:val="ru-RU"/>
        </w:rPr>
        <w:t>Укрепляется материально-техническая база перинатальных центров, внедряются современные родовспомогательные технологии, применяются новейшие технологии диагностики, реанимации, интенсивной терапии новорожденных. В январе-сентябре 2010 года в области отсутствовали случаи материнской смертности.</w:t>
      </w:r>
    </w:p>
    <w:p w:rsidR="00316B61" w:rsidRPr="00701503" w:rsidRDefault="00316B61" w:rsidP="006E03AA">
      <w:pPr>
        <w:ind w:firstLine="0"/>
        <w:rPr>
          <w:sz w:val="28"/>
          <w:szCs w:val="28"/>
          <w:lang w:val="ru-RU"/>
        </w:rPr>
      </w:pPr>
      <w:r>
        <w:rPr>
          <w:sz w:val="28"/>
          <w:szCs w:val="28"/>
          <w:lang w:val="ru-RU"/>
        </w:rPr>
        <w:t xml:space="preserve">         </w:t>
      </w:r>
      <w:r w:rsidRPr="00701503">
        <w:rPr>
          <w:sz w:val="28"/>
          <w:szCs w:val="28"/>
          <w:lang w:val="ru-RU"/>
        </w:rPr>
        <w:t>Для снижения смертности населения от болезней системы кровообращения и онкологических заболеваний продолжены мероприятия, направленные на раннее выявление данных видов заболеваний и своевременное лечение, а также мероприятия по информированию населения об основных факторах риска возникновения социально опасных заболеваний.</w:t>
      </w:r>
    </w:p>
    <w:p w:rsidR="00316B61" w:rsidRPr="00701503" w:rsidRDefault="00316B61" w:rsidP="00701503">
      <w:pPr>
        <w:rPr>
          <w:sz w:val="28"/>
          <w:szCs w:val="28"/>
          <w:lang w:val="ru-RU"/>
        </w:rPr>
      </w:pPr>
      <w:r w:rsidRPr="00701503">
        <w:rPr>
          <w:sz w:val="28"/>
          <w:szCs w:val="28"/>
          <w:lang w:val="ru-RU"/>
        </w:rPr>
        <w:t>Завершается строительство Федерального центра нейрохирургии в г.</w:t>
      </w:r>
      <w:r>
        <w:rPr>
          <w:sz w:val="28"/>
          <w:szCs w:val="28"/>
          <w:lang w:val="ru-RU"/>
        </w:rPr>
        <w:t xml:space="preserve"> </w:t>
      </w:r>
      <w:r w:rsidRPr="00701503">
        <w:rPr>
          <w:sz w:val="28"/>
          <w:szCs w:val="28"/>
          <w:lang w:val="ru-RU"/>
        </w:rPr>
        <w:t xml:space="preserve">Тюмени. Ведётся монтаж встроенной мебели, диагностического и медицинского оборудования.  </w:t>
      </w:r>
    </w:p>
    <w:p w:rsidR="00316B61" w:rsidRPr="00701503" w:rsidRDefault="00316B61" w:rsidP="00701503">
      <w:pPr>
        <w:rPr>
          <w:sz w:val="28"/>
          <w:szCs w:val="28"/>
          <w:lang w:val="ru-RU"/>
        </w:rPr>
      </w:pPr>
      <w:r w:rsidRPr="00701503">
        <w:rPr>
          <w:sz w:val="28"/>
          <w:szCs w:val="28"/>
          <w:lang w:val="ru-RU"/>
        </w:rPr>
        <w:t>В рамках реализации приоритетного национального проекта «Здоровье» в Тюменской области созданы 13 центров здоровья на базе государственных и муниципальных учреждений здравоохранения, работающих в системе обязательного медицинского страхования. В январе-сентябре 2010 года в указанных центрах прошли комплексное обследование 48,7 тыс. человек, в том числе более 1,3 тыс. подростков.</w:t>
      </w:r>
    </w:p>
    <w:p w:rsidR="00316B61" w:rsidRPr="00701503" w:rsidRDefault="00316B61" w:rsidP="00701503">
      <w:pPr>
        <w:rPr>
          <w:sz w:val="28"/>
          <w:szCs w:val="28"/>
          <w:lang w:val="ru-RU"/>
        </w:rPr>
      </w:pPr>
      <w:r w:rsidRPr="00701503">
        <w:rPr>
          <w:sz w:val="28"/>
          <w:szCs w:val="28"/>
          <w:lang w:val="ru-RU"/>
        </w:rPr>
        <w:t>Реализуются мероприятия по формированию здорового образа жизни посредством физкультурно-оздоровительной деятельности. Удельный вес населения, регулярно занимающегося физической культурой и спортом, по предварительным итогам 9 месяцев 2010 года составляет 25,7% от общей численности населения или 345,5 тыс. человек.</w:t>
      </w:r>
    </w:p>
    <w:p w:rsidR="00316B61" w:rsidRPr="00701503" w:rsidRDefault="00316B61" w:rsidP="006E03AA">
      <w:pPr>
        <w:ind w:firstLine="0"/>
        <w:rPr>
          <w:sz w:val="28"/>
          <w:szCs w:val="28"/>
          <w:lang w:val="ru-RU"/>
        </w:rPr>
      </w:pPr>
      <w:r>
        <w:rPr>
          <w:sz w:val="28"/>
          <w:szCs w:val="28"/>
          <w:lang w:val="ru-RU"/>
        </w:rPr>
        <w:t xml:space="preserve">        </w:t>
      </w:r>
      <w:r w:rsidRPr="00701503">
        <w:rPr>
          <w:sz w:val="28"/>
          <w:szCs w:val="28"/>
          <w:lang w:val="ru-RU"/>
        </w:rPr>
        <w:t>Жителям области в полном объеме предоставляются меры социальной поддержки, предусмотренные действующим федеральным и областным законодательством. Численность получателей мер социальной поддержки составляет почти 620 тыс. человек. Основными мерами социальной поддержки остаются возмещение расходов на оплату жилищно-коммунальных услуг, услуг связи, проезда на общественном транспорте.</w:t>
      </w:r>
    </w:p>
    <w:p w:rsidR="00316B61" w:rsidRPr="00701503" w:rsidRDefault="00316B61" w:rsidP="00701503">
      <w:pPr>
        <w:rPr>
          <w:sz w:val="28"/>
          <w:szCs w:val="28"/>
          <w:lang w:val="ru-RU"/>
        </w:rPr>
      </w:pPr>
      <w:r w:rsidRPr="00701503">
        <w:rPr>
          <w:sz w:val="28"/>
          <w:szCs w:val="28"/>
          <w:lang w:val="ru-RU"/>
        </w:rPr>
        <w:t>Продолжается реализация мероприятий по оказанию помощи по выходу граждан на самообеспечение. В январе-сентябре 2010 года помощь оказана 10516 семьям через организации АПК, центры занятости населения, учреждения здравоохранения, образования, социальной защиты населения.</w:t>
      </w:r>
    </w:p>
    <w:p w:rsidR="00316B61" w:rsidRDefault="00316B61" w:rsidP="00701503">
      <w:pPr>
        <w:rPr>
          <w:sz w:val="28"/>
          <w:szCs w:val="28"/>
          <w:lang w:val="ru-RU"/>
        </w:rPr>
      </w:pPr>
    </w:p>
    <w:p w:rsidR="00316B61" w:rsidRPr="006E03AA" w:rsidRDefault="00316B61" w:rsidP="006E03AA">
      <w:pPr>
        <w:jc w:val="center"/>
        <w:rPr>
          <w:b/>
          <w:sz w:val="28"/>
          <w:szCs w:val="28"/>
          <w:lang w:val="ru-RU"/>
        </w:rPr>
      </w:pPr>
      <w:r>
        <w:rPr>
          <w:b/>
          <w:sz w:val="28"/>
          <w:szCs w:val="28"/>
          <w:lang w:val="ru-RU"/>
        </w:rPr>
        <w:t xml:space="preserve">2.3 </w:t>
      </w:r>
      <w:r w:rsidRPr="006E03AA">
        <w:rPr>
          <w:b/>
          <w:sz w:val="28"/>
          <w:szCs w:val="28"/>
          <w:lang w:val="ru-RU"/>
        </w:rPr>
        <w:t>Состояние и перспективы  развития ТЭК Тюменской области.</w:t>
      </w:r>
    </w:p>
    <w:p w:rsidR="00316B61" w:rsidRPr="006E03AA" w:rsidRDefault="00316B61" w:rsidP="006E03AA">
      <w:pPr>
        <w:rPr>
          <w:sz w:val="28"/>
          <w:szCs w:val="28"/>
          <w:lang w:val="ru-RU"/>
        </w:rPr>
      </w:pPr>
    </w:p>
    <w:p w:rsidR="00316B61" w:rsidRPr="006E03AA" w:rsidRDefault="00316B61" w:rsidP="006E03AA">
      <w:pPr>
        <w:rPr>
          <w:sz w:val="28"/>
          <w:szCs w:val="28"/>
          <w:lang w:val="ru-RU"/>
        </w:rPr>
      </w:pPr>
      <w:r w:rsidRPr="006E03AA">
        <w:rPr>
          <w:sz w:val="28"/>
          <w:szCs w:val="28"/>
          <w:lang w:val="ru-RU"/>
        </w:rPr>
        <w:t>Тюменский топливно-энергетический комплекс традиционно занимают ведущее место в экономике региона. Отрасли нефтегазового сектора уже многие годы вносят решающий вклад в производство энергоносителей и сегодня являются определяющими в развитии экономики и региона и страны.</w:t>
      </w:r>
    </w:p>
    <w:p w:rsidR="00316B61" w:rsidRPr="006E03AA" w:rsidRDefault="00316B61" w:rsidP="006E03AA">
      <w:pPr>
        <w:rPr>
          <w:sz w:val="28"/>
          <w:szCs w:val="28"/>
          <w:lang w:val="ru-RU"/>
        </w:rPr>
      </w:pPr>
      <w:r w:rsidRPr="006E03AA">
        <w:rPr>
          <w:sz w:val="28"/>
          <w:szCs w:val="28"/>
          <w:lang w:val="ru-RU"/>
        </w:rPr>
        <w:t xml:space="preserve">Ресурсный потенциал Западной Сибири, как основной нефтегазовой провинции страны, позволяет еще долгое время (ближайшие 25-30 лет) обеспечивать крупномасштабную добычу углеводородов, что отражено в Энергетической Стратегии России до 2030 года. Сосредоточенные здесь стратегические запасы углеводородов, позволяют сегодня обеспечивать добычу более 60 % нефти и 90 % естественного газа от общей добычи в стране. </w:t>
      </w:r>
    </w:p>
    <w:p w:rsidR="00316B61" w:rsidRPr="006E03AA" w:rsidRDefault="00316B61" w:rsidP="006E03AA">
      <w:pPr>
        <w:rPr>
          <w:sz w:val="28"/>
          <w:szCs w:val="28"/>
          <w:lang w:val="ru-RU"/>
        </w:rPr>
      </w:pPr>
      <w:r w:rsidRPr="006E03AA">
        <w:rPr>
          <w:sz w:val="28"/>
          <w:szCs w:val="28"/>
          <w:lang w:val="ru-RU"/>
        </w:rPr>
        <w:t>В 2009году по Тюменскому региону добыча нефти, включая газовый конденсат, составила 311 млн. тонн и естественного газа – 516 млрд. м3.</w:t>
      </w:r>
    </w:p>
    <w:p w:rsidR="00316B61" w:rsidRPr="006E03AA" w:rsidRDefault="00316B61" w:rsidP="006E03AA">
      <w:pPr>
        <w:rPr>
          <w:sz w:val="28"/>
          <w:szCs w:val="28"/>
          <w:lang w:val="ru-RU"/>
        </w:rPr>
      </w:pPr>
      <w:r w:rsidRPr="006E03AA">
        <w:rPr>
          <w:sz w:val="28"/>
          <w:szCs w:val="28"/>
          <w:lang w:val="ru-RU"/>
        </w:rPr>
        <w:t>Многочисленные исследования свидетельствуют о значительных запасах углеводородов на Юге Тюменской области. Утвержденные в 1993 г. межведомственной комиссией, ресурсы углеводородов по южным районам Тюменской области составляют 1,4 млрд. тонн. Это подтверждают и данные научно-исследовательских институтов, оценки которых изменяютсяются в пределах 1,1 — 2,5 млрд. тонн.</w:t>
      </w:r>
    </w:p>
    <w:p w:rsidR="00316B61" w:rsidRPr="006E03AA" w:rsidRDefault="00316B61" w:rsidP="006E03AA">
      <w:pPr>
        <w:rPr>
          <w:sz w:val="28"/>
          <w:szCs w:val="28"/>
          <w:lang w:val="ru-RU"/>
        </w:rPr>
      </w:pPr>
      <w:r w:rsidRPr="006E03AA">
        <w:rPr>
          <w:sz w:val="28"/>
          <w:szCs w:val="28"/>
          <w:lang w:val="ru-RU"/>
        </w:rPr>
        <w:t>В результате геологоразведочных работ в Уватском районе Тюменской области открыто 35 месторождений углеводородного сырья. Все они находятся на территории уже распределенного фонда недр. В промышленную разработку вовлечены Кальчинское и Зимнее месторождения, в опытно-промышленную разработку - Северо-Демьянское, Северо-Качкарское, Урненское и Усть-Тегусское месторождения, в пробную эксплуатацию-Тямкинское, Радонежское, Протозановское и Варьягское. Все остальные – еще в стадии геологического изучения. На 01.01.2010 года на юге Тюменской области на 36 лицензионных участках геологоразведочные работы на углеводородное сырье проводят 20 предприятий-недропользователей. Вовлечение в разработку запасов юга области позволит уже в ближайшей перспективе довести добычу нефти по южным районам Тюменской области до уровня 15 млн. тонн в год.</w:t>
      </w:r>
    </w:p>
    <w:p w:rsidR="00316B61" w:rsidRPr="006E03AA" w:rsidRDefault="00316B61" w:rsidP="006E03AA">
      <w:pPr>
        <w:ind w:firstLine="0"/>
        <w:rPr>
          <w:sz w:val="28"/>
          <w:szCs w:val="28"/>
          <w:lang w:val="ru-RU"/>
        </w:rPr>
      </w:pPr>
      <w:r>
        <w:rPr>
          <w:sz w:val="28"/>
          <w:szCs w:val="28"/>
          <w:lang w:val="ru-RU"/>
        </w:rPr>
        <w:t xml:space="preserve">       </w:t>
      </w:r>
      <w:r w:rsidRPr="006E03AA">
        <w:rPr>
          <w:sz w:val="28"/>
          <w:szCs w:val="28"/>
          <w:lang w:val="ru-RU"/>
        </w:rPr>
        <w:t xml:space="preserve"> Результаты работы нефтедобывающей промышленности на юге Тюменской области в 2009г определялись объемами добычи нефти в 3,14 млн.т нефти, что более чем в 2,4 раза больше по отношению к 2008 году. Это способствовало, в первую очередь, ввод в эксплуатацию 2-х нефтяных месторождений Урненского и Усть-Тегусского. Объемы добычи нефти в текущем 2010 году с вводом еще одного месторождения (Тямкинского) будут значительно превышены 2009г. и прогнозируются на уровне 4,4-4,5 млн. тонн. </w:t>
      </w:r>
    </w:p>
    <w:p w:rsidR="00316B61" w:rsidRPr="006E03AA" w:rsidRDefault="00316B61" w:rsidP="006E03AA">
      <w:pPr>
        <w:rPr>
          <w:sz w:val="28"/>
          <w:szCs w:val="28"/>
          <w:lang w:val="ru-RU"/>
        </w:rPr>
      </w:pPr>
      <w:r w:rsidRPr="006E03AA">
        <w:rPr>
          <w:sz w:val="28"/>
          <w:szCs w:val="28"/>
          <w:lang w:val="ru-RU"/>
        </w:rPr>
        <w:t xml:space="preserve">За минувшее десятилетие приросты запасов углеводородов в целом по региону зачастую не компенсировали даже уровней фактической добычи. Шло «проедание» разведанных запасов. Средний размер открываемых месторождений постоянно снижается, в структуре подготовленных запасов преобладают низкопродуктивные. Это предопределяет необходимость использования новых наукоемких технологий по поиску и разведке углеводородов. </w:t>
      </w:r>
    </w:p>
    <w:p w:rsidR="00316B61" w:rsidRPr="006E03AA" w:rsidRDefault="00316B61" w:rsidP="006E03AA">
      <w:pPr>
        <w:rPr>
          <w:sz w:val="28"/>
          <w:szCs w:val="28"/>
          <w:lang w:val="ru-RU"/>
        </w:rPr>
      </w:pPr>
      <w:r w:rsidRPr="006E03AA">
        <w:rPr>
          <w:sz w:val="28"/>
          <w:szCs w:val="28"/>
          <w:lang w:val="ru-RU"/>
        </w:rPr>
        <w:t xml:space="preserve">Задача укрепления минерально-сырьевой базы нефтегазового комплекса Тюменской области носит приоритетный характер с точки зрения обеспечения финансово-экономической и энергетической безопасности России. Решение этой задачи во многом лежит в плоскости правового регулирования. Несовершенство законодательства, его противоречия, отсутствие достаточных гарантий инвесторам в части окупаемости вложенных средств, препятствуют притоку финансовых средств в геологоразведку. В регионе и в целом в России накапливается большое отставание по выполнению объемов геологоразведочных работ, предусмотренных лицензионными соглашениями, что неоднократно обсуждалось на коллегиях министерства природных ресурсов РФ и на региональном уровне в УрФО. В тесном контакте с министерством природных ресурсов России, агентством по недропользованию подготовлено и успешно проведено семь раундов аукционов по представлению прав пользования участками недр на территории юга Тюменской области. В прошлом 2009 году подготовлен и проведен очередной аукцион, по результатам которого будут выданы 2-е лицензии на углеводороды. </w:t>
      </w:r>
    </w:p>
    <w:p w:rsidR="00316B61" w:rsidRPr="006E03AA" w:rsidRDefault="00316B61" w:rsidP="006E03AA">
      <w:pPr>
        <w:rPr>
          <w:sz w:val="28"/>
          <w:szCs w:val="28"/>
          <w:lang w:val="ru-RU"/>
        </w:rPr>
      </w:pPr>
      <w:r w:rsidRPr="006E03AA">
        <w:rPr>
          <w:sz w:val="28"/>
          <w:szCs w:val="28"/>
          <w:lang w:val="ru-RU"/>
        </w:rPr>
        <w:t>Экономика южных районов Тюменской области, в последние годы, характеризуется значительной активизацией работы предприятий нефтегазодобывающей отрасли. Развитие нефтегазодобычи за счет выхода предприятий ТЭК на освоение новых территорий послужило толчком к их комплексному развитию.</w:t>
      </w:r>
    </w:p>
    <w:p w:rsidR="00316B61" w:rsidRPr="006E03AA" w:rsidRDefault="00316B61" w:rsidP="006E03AA">
      <w:pPr>
        <w:rPr>
          <w:sz w:val="28"/>
          <w:szCs w:val="28"/>
          <w:lang w:val="ru-RU"/>
        </w:rPr>
      </w:pPr>
      <w:r w:rsidRPr="006E03AA">
        <w:rPr>
          <w:sz w:val="28"/>
          <w:szCs w:val="28"/>
          <w:lang w:val="ru-RU"/>
        </w:rPr>
        <w:t>Основным сдерживающим фактором в социально-экономическом развитии территории является отсутствие развитой транспортной и энергетической инфраструктур. Реализация целевых региональных программ «Сотрудничество» и «Основные направления развития минерально-сырьевого и топливно-энергетического комплексов» послужило серьезным началом по развитию новых территорий юга Тюменской области и регионов Западной Сибири, граничащих с ним.</w:t>
      </w:r>
    </w:p>
    <w:p w:rsidR="00316B61" w:rsidRPr="006E03AA" w:rsidRDefault="00316B61" w:rsidP="006E03AA">
      <w:pPr>
        <w:rPr>
          <w:sz w:val="28"/>
          <w:szCs w:val="28"/>
          <w:lang w:val="ru-RU"/>
        </w:rPr>
      </w:pPr>
      <w:r w:rsidRPr="006E03AA">
        <w:rPr>
          <w:sz w:val="28"/>
          <w:szCs w:val="28"/>
          <w:lang w:val="ru-RU"/>
        </w:rPr>
        <w:t>Правительство Тюменской области строит свою политику исходя из реальной ситуации в отраслях нефтегазового комплекса, существующих проблем и направлений их перспективного развития, чтобы сконцентрировать усилия на главных направлениях и реально повысить эффективность экономики области, увеличить объемы финансовых поступлений в бюджеты всех уровней. Именно это позволит, в конечном итоге, достичь главной цели - повысить качество и уровень жизни тюменцев.    Между отдельными компаниями-недропользователями и Правительством области заключаются Экономические соглашения о взаимном сотрудничестве по социально-экономическому развитию районов, на территории которых расположены лицензионные участки. Цель этих документов - скоординировать взаимодействие сторон в сфере социально-экономического развития региона. Конкретные обязательства стороны берут на себя в работе по обеспечению жизнедеятельности местного населения, а также по охране природы при поиске, разведке и добыче углеводородов.</w:t>
      </w:r>
    </w:p>
    <w:p w:rsidR="00316B61" w:rsidRPr="006E03AA" w:rsidRDefault="00316B61" w:rsidP="006E03AA">
      <w:pPr>
        <w:rPr>
          <w:sz w:val="28"/>
          <w:szCs w:val="28"/>
          <w:lang w:val="ru-RU"/>
        </w:rPr>
      </w:pPr>
      <w:r w:rsidRPr="006E03AA">
        <w:rPr>
          <w:sz w:val="28"/>
          <w:szCs w:val="28"/>
          <w:lang w:val="ru-RU"/>
        </w:rPr>
        <w:t xml:space="preserve">Так с 2004 года действует Соглашение о стратегическом сотрудничестве между Правительством Тюменской области и ТНК-ВР, предусматривающее взаимодействие нефтяной компании и Правительства в реализации на территории региона инвестиционных, производственных и социальных проектов </w:t>
      </w:r>
    </w:p>
    <w:p w:rsidR="00316B61" w:rsidRPr="006E03AA" w:rsidRDefault="00316B61" w:rsidP="006E03AA">
      <w:pPr>
        <w:rPr>
          <w:sz w:val="28"/>
          <w:szCs w:val="28"/>
          <w:lang w:val="ru-RU"/>
        </w:rPr>
      </w:pPr>
      <w:r w:rsidRPr="006E03AA">
        <w:rPr>
          <w:sz w:val="28"/>
          <w:szCs w:val="28"/>
          <w:lang w:val="ru-RU"/>
        </w:rPr>
        <w:t xml:space="preserve">Вышеназванное Соглашение дало старт масштабной реализации крупнейшего инвестиционного проекта на территории области – Уватского. Его реализация во многом определяет стратегию развития нефтедобычи на юге области в ближайшие годы. Максимальный уровень добычи нефти в объеме 10 млн. тонн здесь намечается получить к 2020 году. Общий объем инвестиций за 20 лет реализации Уватского проекта составит более 20 миллиардов долларов США. </w:t>
      </w:r>
    </w:p>
    <w:p w:rsidR="00316B61" w:rsidRPr="006E03AA" w:rsidRDefault="00316B61" w:rsidP="006E03AA">
      <w:pPr>
        <w:rPr>
          <w:sz w:val="28"/>
          <w:szCs w:val="28"/>
          <w:lang w:val="ru-RU"/>
        </w:rPr>
      </w:pPr>
      <w:r w:rsidRPr="006E03AA">
        <w:rPr>
          <w:sz w:val="28"/>
          <w:szCs w:val="28"/>
          <w:lang w:val="ru-RU"/>
        </w:rPr>
        <w:t>За несколько лет реализации Уватского проекта регион получил масштабный экономический и социальный эффект. Проект позволил более рационально эксплуатировать нефтяные месторождения, применять самые современные технологии, создавать новые рабочие места, увеличивать объемы промышленного производства.</w:t>
      </w:r>
    </w:p>
    <w:p w:rsidR="00316B61" w:rsidRPr="006E03AA" w:rsidRDefault="00316B61" w:rsidP="006E03AA">
      <w:pPr>
        <w:rPr>
          <w:sz w:val="28"/>
          <w:szCs w:val="28"/>
          <w:lang w:val="ru-RU"/>
        </w:rPr>
      </w:pPr>
      <w:r w:rsidRPr="006E03AA">
        <w:rPr>
          <w:sz w:val="28"/>
          <w:szCs w:val="28"/>
          <w:lang w:val="ru-RU"/>
        </w:rPr>
        <w:t>Уватский проект становится локомотивом развития промышленности Юга области, в первую очередь, машиностроения, строительной индустрии, лесной отрасли, позволяет создавать новые рабочие места и продолжить работу по решению социальных проблем жителей Уватского района. У проекта сложная геологическая специфика - большое количество мелких месторождений, разбросанных на обширной территории, что требует серьезных затрат на инфраструктуру. На сегодня уже значительная часть объектов реализована. Это, в первую очередь, построен и пущен в эксплуатацию 300 км межпромысловый трубопровод и сопутствующие инженерные объекты по подготовке и транспорту нефти с Урненского и Усть-Тегусского месторождений. Только за четыре года (2007-2010гг.) в проект будет инвестировано более 69 млрд. рублей, из них 16,3 млрд. рублей в 2010 году. Эти средства будут направлены на реализацию геолого-технических мероприятий, эксплуатационное бурение, строительство трубопроводов, дорог, ЛЭП, поисковое и разведочное бурение, сейсмику.</w:t>
      </w:r>
    </w:p>
    <w:p w:rsidR="00316B61" w:rsidRPr="006E03AA" w:rsidRDefault="00316B61" w:rsidP="006E03AA">
      <w:pPr>
        <w:rPr>
          <w:sz w:val="28"/>
          <w:szCs w:val="28"/>
          <w:lang w:val="ru-RU"/>
        </w:rPr>
      </w:pPr>
      <w:r w:rsidRPr="006E03AA">
        <w:rPr>
          <w:sz w:val="28"/>
          <w:szCs w:val="28"/>
          <w:lang w:val="ru-RU"/>
        </w:rPr>
        <w:t xml:space="preserve">Территорию юга Тюменской области, несмотря на возобновление в последние годы геологоразведочных работ, можно охарактеризовать как слабоизученную. </w:t>
      </w:r>
    </w:p>
    <w:p w:rsidR="00316B61" w:rsidRPr="006E03AA" w:rsidRDefault="00316B61" w:rsidP="006E03AA">
      <w:pPr>
        <w:rPr>
          <w:sz w:val="28"/>
          <w:szCs w:val="28"/>
          <w:lang w:val="ru-RU"/>
        </w:rPr>
      </w:pPr>
      <w:r w:rsidRPr="006E03AA">
        <w:rPr>
          <w:sz w:val="28"/>
          <w:szCs w:val="28"/>
          <w:lang w:val="ru-RU"/>
        </w:rPr>
        <w:t xml:space="preserve">Правительством области разработана и реализуется областная целевая программа геологического изучения и воспроизводства минерально-сырьевой базы Тюменской области на период до 2011 года. Она сконцентрировала в себе основные подходы региональной власти к вопросам дальнейшего геологического изучения недр, локализации ресурсного потенциала и подготовки объектов для добычи нефти. </w:t>
      </w:r>
    </w:p>
    <w:p w:rsidR="00316B61" w:rsidRPr="006E03AA" w:rsidRDefault="00316B61" w:rsidP="006E03AA">
      <w:pPr>
        <w:rPr>
          <w:sz w:val="28"/>
          <w:szCs w:val="28"/>
          <w:lang w:val="ru-RU"/>
        </w:rPr>
      </w:pPr>
      <w:r w:rsidRPr="006E03AA">
        <w:rPr>
          <w:sz w:val="28"/>
          <w:szCs w:val="28"/>
          <w:lang w:val="ru-RU"/>
        </w:rPr>
        <w:t>Региональная программа геологоразведочных работ и воспроизводства минерально-сырьевой базы сформирована, исходя из принципиально нового подхода к стратегии геологического изучения нераспределенного фонда, который позволит осуществлять такие инвестиции с максимальной эффективностью. Главная цель программы - подготовка максимального количества участков фонда недр к лицензированию в предельно короткие сроки.</w:t>
      </w:r>
    </w:p>
    <w:p w:rsidR="00316B61" w:rsidRPr="006E03AA" w:rsidRDefault="00316B61" w:rsidP="006E03AA">
      <w:pPr>
        <w:rPr>
          <w:sz w:val="28"/>
          <w:szCs w:val="28"/>
          <w:lang w:val="ru-RU"/>
        </w:rPr>
      </w:pPr>
      <w:r w:rsidRPr="006E03AA">
        <w:rPr>
          <w:sz w:val="28"/>
          <w:szCs w:val="28"/>
          <w:lang w:val="ru-RU"/>
        </w:rPr>
        <w:t xml:space="preserve">Основной целью инвестиционной политики области в сфере недропользования является максимальное вовлечение в эту сферу финансовых ресурсов из всех источников. Так, в 2008 г. финансирование геологоразведочных работ за счет бюджета РФ составило 72,49 млн. рублей, областного – 60,74 млн. руб. Продолжался рост вовлекаемых в эту сферу финансовых средств недропользователей. В 2008 году они профинансировали работы на лицензионных участках на сумму 4,4 млрд. руб. Разразившийся в 2008 году мировой финансово-экономического кризис внес в 2009 год соответствующие коррективы в объемы финансирования ГРР, которые снизились (как и в целом по отрасли), и составили 40 % от показателей 2008г. Учитывая тенденцию некоторой стабилизации экономики в конце 2009г.,рассчитываем, что текущий 2010год будет переломным по началу восстановления объемов финансирования ГРР. </w:t>
      </w:r>
    </w:p>
    <w:p w:rsidR="00316B61" w:rsidRPr="006E03AA" w:rsidRDefault="00316B61" w:rsidP="006E03AA">
      <w:pPr>
        <w:ind w:firstLine="0"/>
        <w:rPr>
          <w:sz w:val="28"/>
          <w:szCs w:val="28"/>
          <w:lang w:val="ru-RU"/>
        </w:rPr>
      </w:pPr>
      <w:r>
        <w:rPr>
          <w:sz w:val="28"/>
          <w:szCs w:val="28"/>
          <w:lang w:val="ru-RU"/>
        </w:rPr>
        <w:t xml:space="preserve">        </w:t>
      </w:r>
      <w:r w:rsidRPr="006E03AA">
        <w:rPr>
          <w:sz w:val="28"/>
          <w:szCs w:val="28"/>
          <w:lang w:val="ru-RU"/>
        </w:rPr>
        <w:t>Согласно принятой Концепции долгосрочного социально-экономического развития Тюменской области до 2020 года и на перспективу до 2030 года, регион в долгосрочной перспективе ориентирован на инновационное развитие ведущих отраслей промышленности. Развитие отраслей ТЭК органически вписывается в общую стратегию социально-экономического развития Тюменской области. В настоящее время стратегическое планирование будущего нашего региона выходит на новый этап, предусматривающий взаимоувязку и согласование федеральных, региональных, межрегиональных и межотраслевых приоритетов развития, позволяющих выстроить механизм оптимального использования имеющихся ресурсов.</w:t>
      </w:r>
    </w:p>
    <w:p w:rsidR="00316B61" w:rsidRPr="006E03AA" w:rsidRDefault="00316B61" w:rsidP="006E03AA">
      <w:pPr>
        <w:ind w:firstLine="0"/>
        <w:rPr>
          <w:sz w:val="28"/>
          <w:szCs w:val="28"/>
          <w:lang w:val="ru-RU"/>
        </w:rPr>
      </w:pPr>
      <w:r>
        <w:rPr>
          <w:sz w:val="28"/>
          <w:szCs w:val="28"/>
          <w:lang w:val="ru-RU"/>
        </w:rPr>
        <w:t xml:space="preserve">        </w:t>
      </w:r>
      <w:r w:rsidRPr="006E03AA">
        <w:rPr>
          <w:sz w:val="28"/>
          <w:szCs w:val="28"/>
          <w:lang w:val="ru-RU"/>
        </w:rPr>
        <w:t xml:space="preserve">Главным содержанием нового этапа развития экономики региона является формирование отраслей топливно-энергетического комплекса, связанных с глубокой переработкой углеводородов. Это, прежде всего, производство химической, нефтехимической продукции и материалов, нефтепродуктов. Сегодня на территории региона работают предприятия этих секторов экономики, на базе которых планируется модернизация, расширение и строительство новых производств высокого передела. Правительство Тюменской области продолжает курс на диверсификацию региональной экономики. Это появление и развитие новой для региона отрасли, как нефтепереработка, первые предприятия которой уже действуют на территории области. Идет полным ходом реализация концепции проекта по переработки нефти на Антипинском нефтеперерабатывающем заводе (НПЗ) мощностью 6 млн. тонн в год с современной технологической конфигурацией и глубиной переработки до 95%. И это конечно потребует применение современных технологий. Пуск новых мощностей (2-й этап) позволит перерабатывать начиная с 2010 года до 4 млн. тонн нефти. А последующими очередями предусматривается получение широкого спектра нефтепродуктов высокого передела, соответствующие экологическим требованиям стандартов ЕВРО, а также получение сопутствующий современных продуктов и материалов, востребованных на рынке. Модернизация и развитие традиционной отрасли региона – нефтегазохимической, рассматривается, в первую очередь, через реализацию современных новых инновационных технологий, что позволит совершить мощный рывок и выйти на международный уровень работы и по объему и по качеству выпускаемой продукции. Это касается Тобольского нефтехимического комбината, где в соответствии с программой ОАО «Сибур Холдинг» на промышленной площадке ООО «Тобольск-Нефтехим» предусматривается в ближайшие годы удвоение объемов переработки легких углеводородов и выйти на производство полипропилена ( 2012г.), а в дальнейшем и полиэтилена. </w:t>
      </w:r>
    </w:p>
    <w:p w:rsidR="00316B61" w:rsidRPr="006E03AA" w:rsidRDefault="00316B61" w:rsidP="006E03AA">
      <w:pPr>
        <w:ind w:firstLine="0"/>
        <w:rPr>
          <w:sz w:val="28"/>
          <w:szCs w:val="28"/>
          <w:lang w:val="ru-RU"/>
        </w:rPr>
      </w:pPr>
      <w:r>
        <w:rPr>
          <w:sz w:val="28"/>
          <w:szCs w:val="28"/>
          <w:lang w:val="ru-RU"/>
        </w:rPr>
        <w:t xml:space="preserve">       </w:t>
      </w:r>
      <w:r w:rsidRPr="006E03AA">
        <w:rPr>
          <w:sz w:val="28"/>
          <w:szCs w:val="28"/>
          <w:lang w:val="ru-RU"/>
        </w:rPr>
        <w:t xml:space="preserve"> Разработка и реализация начиная с 2009г. на период до 2011г. нефтегазовыми компаниями комплексных программ эффективного использования легкого углеводородного сырья, включая попутный нефтяной газ, является одним из приоритетных направлений развития промышленности региона. В текущем 2010</w:t>
      </w:r>
      <w:r>
        <w:rPr>
          <w:sz w:val="28"/>
          <w:szCs w:val="28"/>
          <w:lang w:val="ru-RU"/>
        </w:rPr>
        <w:t xml:space="preserve"> </w:t>
      </w:r>
      <w:r w:rsidRPr="006E03AA">
        <w:rPr>
          <w:sz w:val="28"/>
          <w:szCs w:val="28"/>
          <w:lang w:val="ru-RU"/>
        </w:rPr>
        <w:t xml:space="preserve">году начинается реализация проектов по утилизации попутного газа в части его использования для выработки электроэнергии непосредственно на месте для нужд нефтепромыслов Уватского проекта. </w:t>
      </w:r>
    </w:p>
    <w:p w:rsidR="00316B61" w:rsidRPr="006E03AA" w:rsidRDefault="00316B61" w:rsidP="006E03AA">
      <w:pPr>
        <w:rPr>
          <w:sz w:val="28"/>
          <w:szCs w:val="28"/>
          <w:lang w:val="ru-RU"/>
        </w:rPr>
      </w:pPr>
      <w:r w:rsidRPr="006E03AA">
        <w:rPr>
          <w:sz w:val="28"/>
          <w:szCs w:val="28"/>
          <w:lang w:val="ru-RU"/>
        </w:rPr>
        <w:t>В целях активизации и подъема экономики области в рамках реализации Стратегии экономического развития региона и учитывая значительный научно-производственный потенциал региона, Правительство Тюменской области проводит активную работу по формированию Западно-Сибирского инновационного центра нефти и газа (Тюменского ТЕХНОПАРКА). И конечно это будет способствовать: -динамичному развитию Тюменского нефтегазового комплекса; -коммерциализации разработанных прогрессивных технологий и других инновационных продуктов для нефтегазового сектора экономики; -улучшению инвестиционного климата; -расширение экспортных возможностей региона; -повышение деловой активности в научной и предпринимательской среде.</w:t>
      </w:r>
    </w:p>
    <w:p w:rsidR="00316B61" w:rsidRPr="006E03AA" w:rsidRDefault="00316B61" w:rsidP="006E03AA">
      <w:pPr>
        <w:ind w:firstLine="0"/>
        <w:rPr>
          <w:sz w:val="28"/>
          <w:szCs w:val="28"/>
          <w:lang w:val="ru-RU"/>
        </w:rPr>
      </w:pPr>
    </w:p>
    <w:p w:rsidR="00316B61" w:rsidRPr="006E03AA" w:rsidRDefault="00316B61" w:rsidP="006E03AA">
      <w:pPr>
        <w:jc w:val="center"/>
        <w:rPr>
          <w:sz w:val="28"/>
          <w:szCs w:val="28"/>
          <w:lang w:val="ru-RU"/>
        </w:rPr>
      </w:pPr>
      <w:r w:rsidRPr="006E03AA">
        <w:rPr>
          <w:sz w:val="28"/>
          <w:szCs w:val="28"/>
          <w:lang w:val="ru-RU"/>
        </w:rPr>
        <w:t>Таблица</w:t>
      </w:r>
      <w:r>
        <w:rPr>
          <w:sz w:val="28"/>
          <w:szCs w:val="28"/>
          <w:lang w:val="ru-RU"/>
        </w:rPr>
        <w:t xml:space="preserve"> 1.</w:t>
      </w:r>
      <w:r w:rsidRPr="006E03AA">
        <w:rPr>
          <w:sz w:val="28"/>
          <w:szCs w:val="28"/>
          <w:lang w:val="ru-RU"/>
        </w:rPr>
        <w:t xml:space="preserve"> Основные показатели работы ТЭК и</w:t>
      </w:r>
    </w:p>
    <w:p w:rsidR="00316B61" w:rsidRPr="006E03AA" w:rsidRDefault="00316B61" w:rsidP="006E03AA">
      <w:pPr>
        <w:jc w:val="center"/>
        <w:rPr>
          <w:sz w:val="28"/>
          <w:szCs w:val="28"/>
          <w:lang w:val="ru-RU"/>
        </w:rPr>
      </w:pPr>
      <w:r w:rsidRPr="006E03AA">
        <w:rPr>
          <w:sz w:val="28"/>
          <w:szCs w:val="28"/>
          <w:lang w:val="ru-RU"/>
        </w:rPr>
        <w:t>нефтехимической промышленности Тюменской области за 2009 год</w:t>
      </w:r>
    </w:p>
    <w:p w:rsidR="00316B61" w:rsidRPr="006E03AA" w:rsidRDefault="00316B61" w:rsidP="006E03AA">
      <w:pPr>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1877"/>
        <w:gridCol w:w="3191"/>
      </w:tblGrid>
      <w:tr w:rsidR="00316B61" w:rsidRPr="006E03AA" w:rsidTr="007E0C47">
        <w:tc>
          <w:tcPr>
            <w:tcW w:w="4503" w:type="dxa"/>
          </w:tcPr>
          <w:p w:rsidR="00316B61" w:rsidRPr="007E0C47" w:rsidRDefault="00316B61" w:rsidP="007E0C47">
            <w:pPr>
              <w:ind w:firstLine="0"/>
              <w:rPr>
                <w:sz w:val="28"/>
                <w:szCs w:val="28"/>
                <w:lang w:val="ru-RU"/>
              </w:rPr>
            </w:pPr>
            <w:r w:rsidRPr="007E0C47">
              <w:rPr>
                <w:sz w:val="28"/>
                <w:szCs w:val="28"/>
                <w:lang w:val="ru-RU"/>
              </w:rPr>
              <w:t>Наименование продукции</w:t>
            </w:r>
          </w:p>
        </w:tc>
        <w:tc>
          <w:tcPr>
            <w:tcW w:w="1877" w:type="dxa"/>
          </w:tcPr>
          <w:p w:rsidR="00316B61" w:rsidRPr="007E0C47" w:rsidRDefault="00316B61" w:rsidP="007E0C47">
            <w:pPr>
              <w:ind w:firstLine="0"/>
              <w:rPr>
                <w:sz w:val="28"/>
                <w:szCs w:val="28"/>
                <w:lang w:val="ru-RU"/>
              </w:rPr>
            </w:pPr>
            <w:r w:rsidRPr="007E0C47">
              <w:rPr>
                <w:sz w:val="28"/>
                <w:szCs w:val="28"/>
                <w:lang w:val="ru-RU"/>
              </w:rPr>
              <w:t>Количество</w:t>
            </w:r>
          </w:p>
        </w:tc>
        <w:tc>
          <w:tcPr>
            <w:tcW w:w="3191" w:type="dxa"/>
          </w:tcPr>
          <w:p w:rsidR="00316B61" w:rsidRPr="007E0C47" w:rsidRDefault="00316B61" w:rsidP="006E03AA">
            <w:pPr>
              <w:rPr>
                <w:sz w:val="28"/>
                <w:szCs w:val="28"/>
                <w:lang w:val="ru-RU"/>
              </w:rPr>
            </w:pPr>
            <w:r w:rsidRPr="007E0C47">
              <w:rPr>
                <w:sz w:val="28"/>
                <w:szCs w:val="28"/>
                <w:lang w:val="ru-RU"/>
              </w:rPr>
              <w:t>В % к 2008г.</w:t>
            </w:r>
          </w:p>
        </w:tc>
      </w:tr>
      <w:tr w:rsidR="00316B61" w:rsidTr="007E0C47">
        <w:tc>
          <w:tcPr>
            <w:tcW w:w="4503" w:type="dxa"/>
          </w:tcPr>
          <w:p w:rsidR="00316B61" w:rsidRPr="007E0C47" w:rsidRDefault="00316B61" w:rsidP="007E0C47">
            <w:pPr>
              <w:spacing w:before="240"/>
              <w:ind w:firstLine="0"/>
              <w:rPr>
                <w:sz w:val="28"/>
                <w:szCs w:val="28"/>
              </w:rPr>
            </w:pPr>
            <w:r w:rsidRPr="007E0C47">
              <w:rPr>
                <w:sz w:val="28"/>
                <w:szCs w:val="28"/>
                <w:lang w:val="ru-RU"/>
              </w:rPr>
              <w:t>Добыча нефти, м</w:t>
            </w:r>
            <w:r w:rsidRPr="007E0C47">
              <w:rPr>
                <w:sz w:val="28"/>
                <w:szCs w:val="28"/>
              </w:rPr>
              <w:t>лн. тонн</w:t>
            </w:r>
          </w:p>
        </w:tc>
        <w:tc>
          <w:tcPr>
            <w:tcW w:w="1877" w:type="dxa"/>
          </w:tcPr>
          <w:p w:rsidR="00316B61" w:rsidRPr="007E0C47" w:rsidRDefault="00316B61" w:rsidP="007E0C47">
            <w:pPr>
              <w:spacing w:before="240"/>
              <w:ind w:firstLine="0"/>
              <w:jc w:val="center"/>
              <w:rPr>
                <w:sz w:val="28"/>
                <w:szCs w:val="28"/>
              </w:rPr>
            </w:pPr>
            <w:r w:rsidRPr="007E0C47">
              <w:rPr>
                <w:sz w:val="28"/>
                <w:szCs w:val="28"/>
              </w:rPr>
              <w:t>3,14</w:t>
            </w:r>
          </w:p>
        </w:tc>
        <w:tc>
          <w:tcPr>
            <w:tcW w:w="3191" w:type="dxa"/>
          </w:tcPr>
          <w:p w:rsidR="00316B61" w:rsidRPr="007E0C47" w:rsidRDefault="00316B61" w:rsidP="007E0C47">
            <w:pPr>
              <w:spacing w:before="240"/>
              <w:ind w:firstLine="0"/>
              <w:rPr>
                <w:sz w:val="28"/>
                <w:szCs w:val="28"/>
              </w:rPr>
            </w:pPr>
            <w:r w:rsidRPr="007E0C47">
              <w:rPr>
                <w:sz w:val="28"/>
                <w:szCs w:val="28"/>
              </w:rPr>
              <w:t>увеличение в 2,4 раза</w:t>
            </w:r>
          </w:p>
        </w:tc>
      </w:tr>
      <w:tr w:rsidR="00316B61" w:rsidTr="007E0C47">
        <w:tc>
          <w:tcPr>
            <w:tcW w:w="4503" w:type="dxa"/>
          </w:tcPr>
          <w:p w:rsidR="00316B61" w:rsidRPr="007E0C47" w:rsidRDefault="00316B61" w:rsidP="007E0C47">
            <w:pPr>
              <w:spacing w:before="240"/>
              <w:ind w:firstLine="0"/>
              <w:rPr>
                <w:sz w:val="22"/>
                <w:szCs w:val="22"/>
              </w:rPr>
            </w:pPr>
            <w:r w:rsidRPr="007E0C47">
              <w:rPr>
                <w:sz w:val="28"/>
                <w:szCs w:val="28"/>
              </w:rPr>
              <w:t>Утилизация газа, млн.м3</w:t>
            </w:r>
          </w:p>
        </w:tc>
        <w:tc>
          <w:tcPr>
            <w:tcW w:w="1877" w:type="dxa"/>
          </w:tcPr>
          <w:p w:rsidR="00316B61" w:rsidRPr="007E0C47" w:rsidRDefault="00316B61" w:rsidP="007E0C47">
            <w:pPr>
              <w:spacing w:before="240"/>
              <w:ind w:firstLine="0"/>
              <w:rPr>
                <w:sz w:val="28"/>
                <w:szCs w:val="28"/>
              </w:rPr>
            </w:pPr>
            <w:r w:rsidRPr="007E0C47">
              <w:rPr>
                <w:sz w:val="28"/>
                <w:szCs w:val="28"/>
                <w:lang w:val="ru-RU"/>
              </w:rPr>
              <w:t xml:space="preserve">        </w:t>
            </w:r>
            <w:r w:rsidRPr="007E0C47">
              <w:rPr>
                <w:sz w:val="28"/>
                <w:szCs w:val="28"/>
              </w:rPr>
              <w:t>42,2</w:t>
            </w:r>
          </w:p>
        </w:tc>
        <w:tc>
          <w:tcPr>
            <w:tcW w:w="3191" w:type="dxa"/>
          </w:tcPr>
          <w:p w:rsidR="00316B61" w:rsidRPr="007E0C47" w:rsidRDefault="00316B61" w:rsidP="007E0C47">
            <w:pPr>
              <w:spacing w:before="240"/>
              <w:ind w:firstLine="0"/>
              <w:rPr>
                <w:sz w:val="28"/>
                <w:szCs w:val="28"/>
              </w:rPr>
            </w:pPr>
            <w:r w:rsidRPr="007E0C47">
              <w:rPr>
                <w:sz w:val="28"/>
                <w:szCs w:val="28"/>
              </w:rPr>
              <w:t>увеличение в 2,4 раза</w:t>
            </w:r>
          </w:p>
        </w:tc>
      </w:tr>
      <w:tr w:rsidR="00316B61" w:rsidTr="007E0C47">
        <w:tc>
          <w:tcPr>
            <w:tcW w:w="4503" w:type="dxa"/>
          </w:tcPr>
          <w:p w:rsidR="00316B61" w:rsidRPr="007E0C47" w:rsidRDefault="00316B61" w:rsidP="007E0C47">
            <w:pPr>
              <w:spacing w:before="240"/>
              <w:ind w:firstLine="0"/>
              <w:rPr>
                <w:sz w:val="22"/>
                <w:szCs w:val="22"/>
              </w:rPr>
            </w:pPr>
            <w:r w:rsidRPr="007E0C47">
              <w:rPr>
                <w:sz w:val="28"/>
                <w:szCs w:val="28"/>
              </w:rPr>
              <w:t xml:space="preserve">Переработка нефти, тыс. тонн           </w:t>
            </w:r>
          </w:p>
        </w:tc>
        <w:tc>
          <w:tcPr>
            <w:tcW w:w="1877" w:type="dxa"/>
          </w:tcPr>
          <w:p w:rsidR="00316B61" w:rsidRPr="007E0C47" w:rsidRDefault="00316B61" w:rsidP="007E0C47">
            <w:pPr>
              <w:spacing w:before="240"/>
              <w:ind w:firstLine="0"/>
              <w:rPr>
                <w:sz w:val="28"/>
                <w:szCs w:val="28"/>
              </w:rPr>
            </w:pPr>
            <w:r w:rsidRPr="007E0C47">
              <w:rPr>
                <w:sz w:val="28"/>
                <w:szCs w:val="28"/>
                <w:lang w:val="ru-RU"/>
              </w:rPr>
              <w:t xml:space="preserve">       </w:t>
            </w:r>
            <w:r w:rsidRPr="007E0C47">
              <w:rPr>
                <w:sz w:val="28"/>
                <w:szCs w:val="28"/>
              </w:rPr>
              <w:t>787,4</w:t>
            </w:r>
          </w:p>
        </w:tc>
        <w:tc>
          <w:tcPr>
            <w:tcW w:w="3191" w:type="dxa"/>
          </w:tcPr>
          <w:p w:rsidR="00316B61" w:rsidRPr="007E0C47" w:rsidRDefault="00316B61" w:rsidP="007E0C47">
            <w:pPr>
              <w:spacing w:before="240"/>
              <w:jc w:val="center"/>
              <w:rPr>
                <w:sz w:val="28"/>
                <w:szCs w:val="28"/>
              </w:rPr>
            </w:pPr>
            <w:r w:rsidRPr="007E0C47">
              <w:rPr>
                <w:sz w:val="28"/>
                <w:szCs w:val="28"/>
              </w:rPr>
              <w:t>101,5</w:t>
            </w:r>
          </w:p>
        </w:tc>
      </w:tr>
      <w:tr w:rsidR="00316B61" w:rsidTr="007E0C47">
        <w:tc>
          <w:tcPr>
            <w:tcW w:w="4503" w:type="dxa"/>
          </w:tcPr>
          <w:p w:rsidR="00316B61" w:rsidRPr="007E0C47" w:rsidRDefault="00316B61" w:rsidP="007E0C47">
            <w:pPr>
              <w:spacing w:before="240"/>
              <w:ind w:firstLine="0"/>
              <w:rPr>
                <w:sz w:val="22"/>
                <w:szCs w:val="22"/>
              </w:rPr>
            </w:pPr>
            <w:r w:rsidRPr="007E0C47">
              <w:rPr>
                <w:sz w:val="28"/>
                <w:szCs w:val="28"/>
              </w:rPr>
              <w:t xml:space="preserve">Переработка ШФЛУ, тыс. тонн        </w:t>
            </w:r>
          </w:p>
        </w:tc>
        <w:tc>
          <w:tcPr>
            <w:tcW w:w="1877" w:type="dxa"/>
          </w:tcPr>
          <w:p w:rsidR="00316B61" w:rsidRPr="007E0C47" w:rsidRDefault="00316B61" w:rsidP="007E0C47">
            <w:pPr>
              <w:spacing w:before="240"/>
              <w:ind w:firstLine="0"/>
              <w:rPr>
                <w:sz w:val="28"/>
                <w:szCs w:val="28"/>
              </w:rPr>
            </w:pPr>
            <w:r w:rsidRPr="007E0C47">
              <w:rPr>
                <w:sz w:val="28"/>
                <w:szCs w:val="28"/>
                <w:lang w:val="ru-RU"/>
              </w:rPr>
              <w:t xml:space="preserve">      </w:t>
            </w:r>
            <w:r w:rsidRPr="007E0C47">
              <w:rPr>
                <w:sz w:val="28"/>
                <w:szCs w:val="28"/>
              </w:rPr>
              <w:t>3227,4</w:t>
            </w:r>
          </w:p>
        </w:tc>
        <w:tc>
          <w:tcPr>
            <w:tcW w:w="3191" w:type="dxa"/>
          </w:tcPr>
          <w:p w:rsidR="00316B61" w:rsidRPr="007E0C47" w:rsidRDefault="00316B61" w:rsidP="007E0C47">
            <w:pPr>
              <w:spacing w:before="240"/>
              <w:jc w:val="center"/>
              <w:rPr>
                <w:sz w:val="28"/>
                <w:szCs w:val="28"/>
              </w:rPr>
            </w:pPr>
            <w:r w:rsidRPr="007E0C47">
              <w:rPr>
                <w:sz w:val="28"/>
                <w:szCs w:val="28"/>
              </w:rPr>
              <w:t>112,5</w:t>
            </w:r>
          </w:p>
        </w:tc>
      </w:tr>
      <w:tr w:rsidR="00316B61" w:rsidTr="007E0C47">
        <w:tc>
          <w:tcPr>
            <w:tcW w:w="4503" w:type="dxa"/>
          </w:tcPr>
          <w:p w:rsidR="00316B61" w:rsidRPr="007E0C47" w:rsidRDefault="00316B61" w:rsidP="007E0C47">
            <w:pPr>
              <w:spacing w:before="240"/>
              <w:ind w:firstLine="0"/>
              <w:rPr>
                <w:sz w:val="22"/>
                <w:szCs w:val="22"/>
                <w:lang w:val="ru-RU"/>
              </w:rPr>
            </w:pPr>
            <w:r w:rsidRPr="007E0C47">
              <w:rPr>
                <w:sz w:val="28"/>
                <w:szCs w:val="28"/>
                <w:lang w:val="ru-RU"/>
              </w:rPr>
              <w:t>Производство  углеводородных сжиженных газов,  тыс. тонн</w:t>
            </w:r>
          </w:p>
        </w:tc>
        <w:tc>
          <w:tcPr>
            <w:tcW w:w="1877" w:type="dxa"/>
          </w:tcPr>
          <w:p w:rsidR="00316B61" w:rsidRPr="007E0C47" w:rsidRDefault="00316B61" w:rsidP="007E0C47">
            <w:pPr>
              <w:spacing w:before="240"/>
              <w:ind w:firstLine="0"/>
              <w:rPr>
                <w:sz w:val="28"/>
                <w:szCs w:val="28"/>
              </w:rPr>
            </w:pPr>
            <w:r w:rsidRPr="007E0C47">
              <w:rPr>
                <w:sz w:val="28"/>
                <w:szCs w:val="28"/>
                <w:lang w:val="ru-RU"/>
              </w:rPr>
              <w:t xml:space="preserve">      </w:t>
            </w:r>
            <w:r w:rsidRPr="007E0C47">
              <w:rPr>
                <w:sz w:val="28"/>
                <w:szCs w:val="28"/>
              </w:rPr>
              <w:t>2352,5</w:t>
            </w:r>
          </w:p>
        </w:tc>
        <w:tc>
          <w:tcPr>
            <w:tcW w:w="3191" w:type="dxa"/>
          </w:tcPr>
          <w:p w:rsidR="00316B61" w:rsidRPr="007E0C47" w:rsidRDefault="00316B61" w:rsidP="007E0C47">
            <w:pPr>
              <w:spacing w:before="240"/>
              <w:jc w:val="center"/>
              <w:rPr>
                <w:sz w:val="28"/>
                <w:szCs w:val="28"/>
              </w:rPr>
            </w:pPr>
            <w:r w:rsidRPr="007E0C47">
              <w:rPr>
                <w:sz w:val="28"/>
                <w:szCs w:val="28"/>
              </w:rPr>
              <w:t>115,6</w:t>
            </w:r>
          </w:p>
        </w:tc>
      </w:tr>
      <w:tr w:rsidR="00316B61" w:rsidTr="007E0C47">
        <w:tc>
          <w:tcPr>
            <w:tcW w:w="4503" w:type="dxa"/>
          </w:tcPr>
          <w:p w:rsidR="00316B61" w:rsidRPr="007E0C47" w:rsidRDefault="00316B61" w:rsidP="007E0C47">
            <w:pPr>
              <w:spacing w:before="240"/>
              <w:ind w:firstLine="0"/>
              <w:rPr>
                <w:sz w:val="28"/>
                <w:szCs w:val="28"/>
                <w:lang w:val="ru-RU"/>
              </w:rPr>
            </w:pPr>
            <w:r w:rsidRPr="007E0C47">
              <w:rPr>
                <w:sz w:val="28"/>
                <w:szCs w:val="28"/>
                <w:lang w:val="ru-RU"/>
              </w:rPr>
              <w:t>Производство метилтретбутилового эфира (МТБЭ), тыс. тонн</w:t>
            </w:r>
          </w:p>
        </w:tc>
        <w:tc>
          <w:tcPr>
            <w:tcW w:w="1877" w:type="dxa"/>
          </w:tcPr>
          <w:p w:rsidR="00316B61" w:rsidRPr="007E0C47" w:rsidRDefault="00316B61" w:rsidP="007E0C47">
            <w:pPr>
              <w:spacing w:before="240"/>
              <w:ind w:firstLine="0"/>
              <w:rPr>
                <w:sz w:val="28"/>
                <w:szCs w:val="28"/>
              </w:rPr>
            </w:pPr>
            <w:r w:rsidRPr="007E0C47">
              <w:rPr>
                <w:sz w:val="28"/>
                <w:szCs w:val="28"/>
                <w:lang w:val="ru-RU"/>
              </w:rPr>
              <w:t xml:space="preserve">       </w:t>
            </w:r>
            <w:r w:rsidRPr="007E0C47">
              <w:rPr>
                <w:sz w:val="28"/>
                <w:szCs w:val="28"/>
              </w:rPr>
              <w:t>109,2</w:t>
            </w:r>
          </w:p>
        </w:tc>
        <w:tc>
          <w:tcPr>
            <w:tcW w:w="3191" w:type="dxa"/>
          </w:tcPr>
          <w:p w:rsidR="00316B61" w:rsidRPr="007E0C47" w:rsidRDefault="00316B61" w:rsidP="007E0C47">
            <w:pPr>
              <w:spacing w:before="240"/>
              <w:jc w:val="center"/>
              <w:rPr>
                <w:sz w:val="28"/>
                <w:szCs w:val="28"/>
              </w:rPr>
            </w:pPr>
            <w:r w:rsidRPr="007E0C47">
              <w:rPr>
                <w:sz w:val="28"/>
                <w:szCs w:val="28"/>
              </w:rPr>
              <w:t>102,2</w:t>
            </w:r>
          </w:p>
        </w:tc>
      </w:tr>
      <w:tr w:rsidR="00316B61" w:rsidTr="007E0C47">
        <w:tc>
          <w:tcPr>
            <w:tcW w:w="4503" w:type="dxa"/>
          </w:tcPr>
          <w:p w:rsidR="00316B61" w:rsidRPr="007E0C47" w:rsidRDefault="00316B61" w:rsidP="007E0C47">
            <w:pPr>
              <w:spacing w:before="240"/>
              <w:ind w:firstLine="0"/>
              <w:rPr>
                <w:sz w:val="28"/>
                <w:szCs w:val="28"/>
              </w:rPr>
            </w:pPr>
            <w:r w:rsidRPr="007E0C47">
              <w:rPr>
                <w:sz w:val="28"/>
                <w:szCs w:val="28"/>
              </w:rPr>
              <w:t>Производство бутадиена, тыс. тонн</w:t>
            </w:r>
          </w:p>
        </w:tc>
        <w:tc>
          <w:tcPr>
            <w:tcW w:w="1877" w:type="dxa"/>
          </w:tcPr>
          <w:p w:rsidR="00316B61" w:rsidRPr="007E0C47" w:rsidRDefault="00316B61" w:rsidP="007E0C47">
            <w:pPr>
              <w:spacing w:before="240"/>
              <w:ind w:firstLine="0"/>
              <w:rPr>
                <w:sz w:val="28"/>
                <w:szCs w:val="28"/>
              </w:rPr>
            </w:pPr>
            <w:r w:rsidRPr="007E0C47">
              <w:rPr>
                <w:sz w:val="28"/>
                <w:szCs w:val="28"/>
                <w:lang w:val="ru-RU"/>
              </w:rPr>
              <w:t xml:space="preserve">      </w:t>
            </w:r>
            <w:r w:rsidRPr="007E0C47">
              <w:rPr>
                <w:sz w:val="28"/>
                <w:szCs w:val="28"/>
              </w:rPr>
              <w:t>140,9</w:t>
            </w:r>
          </w:p>
        </w:tc>
        <w:tc>
          <w:tcPr>
            <w:tcW w:w="3191" w:type="dxa"/>
          </w:tcPr>
          <w:p w:rsidR="00316B61" w:rsidRPr="007E0C47" w:rsidRDefault="00316B61" w:rsidP="007E0C47">
            <w:pPr>
              <w:spacing w:before="240"/>
              <w:jc w:val="center"/>
              <w:rPr>
                <w:sz w:val="28"/>
                <w:szCs w:val="28"/>
              </w:rPr>
            </w:pPr>
            <w:r w:rsidRPr="007E0C47">
              <w:rPr>
                <w:sz w:val="28"/>
                <w:szCs w:val="28"/>
              </w:rPr>
              <w:t>76,8</w:t>
            </w:r>
          </w:p>
        </w:tc>
      </w:tr>
    </w:tbl>
    <w:p w:rsidR="00316B61" w:rsidRPr="006E03AA" w:rsidRDefault="00316B61" w:rsidP="00BA732D">
      <w:pPr>
        <w:pStyle w:val="a7"/>
        <w:spacing w:after="0"/>
        <w:ind w:left="0" w:firstLine="0"/>
        <w:jc w:val="center"/>
        <w:rPr>
          <w:b/>
          <w:color w:val="000000"/>
          <w:sz w:val="28"/>
          <w:szCs w:val="28"/>
          <w:lang w:val="ru-RU"/>
        </w:rPr>
      </w:pPr>
      <w:r w:rsidRPr="006E03AA">
        <w:rPr>
          <w:b/>
          <w:color w:val="000000"/>
          <w:sz w:val="28"/>
          <w:szCs w:val="28"/>
          <w:lang w:val="ru-RU"/>
        </w:rPr>
        <w:t>Глава 3 Пути повышения инвестиционной привлекательности Тюменской области.</w:t>
      </w:r>
    </w:p>
    <w:p w:rsidR="00316B61" w:rsidRPr="006E03AA" w:rsidRDefault="00316B61" w:rsidP="006E03AA">
      <w:pPr>
        <w:pStyle w:val="a7"/>
        <w:spacing w:after="0"/>
        <w:ind w:left="0" w:firstLine="709"/>
        <w:rPr>
          <w:color w:val="000000"/>
          <w:sz w:val="28"/>
          <w:szCs w:val="28"/>
          <w:lang w:val="ru-RU"/>
        </w:rPr>
      </w:pPr>
      <w:r w:rsidRPr="006E03AA">
        <w:rPr>
          <w:color w:val="000000"/>
          <w:sz w:val="28"/>
          <w:szCs w:val="28"/>
          <w:lang w:val="ru-RU"/>
        </w:rPr>
        <w:t xml:space="preserve"> </w:t>
      </w:r>
    </w:p>
    <w:p w:rsidR="00316B61" w:rsidRPr="006E03AA" w:rsidRDefault="00316B61" w:rsidP="006E03AA">
      <w:pPr>
        <w:pStyle w:val="a7"/>
        <w:spacing w:after="0"/>
        <w:ind w:left="0" w:firstLine="0"/>
        <w:rPr>
          <w:color w:val="000000"/>
          <w:sz w:val="28"/>
          <w:szCs w:val="28"/>
          <w:lang w:val="ru-RU"/>
        </w:rPr>
      </w:pPr>
      <w:r w:rsidRPr="006E03AA">
        <w:rPr>
          <w:color w:val="000000"/>
          <w:sz w:val="28"/>
          <w:szCs w:val="28"/>
          <w:lang w:val="ru-RU"/>
        </w:rPr>
        <w:t xml:space="preserve">         Пути развития инвестиционной деятельности в области, с моей точки зрения, можно рассматривать в двух направлениях. С одной стороны, перспективы инвестирования зависят от инвестиционной политики, проводимой субъектами федераций. С другой стороны, выбор путей развития можно рассматривать как выбор направлений приложения капитала.</w:t>
      </w:r>
    </w:p>
    <w:p w:rsidR="00316B61" w:rsidRPr="006E03AA" w:rsidRDefault="00316B61" w:rsidP="006E03AA">
      <w:pPr>
        <w:pStyle w:val="a7"/>
        <w:spacing w:after="0"/>
        <w:ind w:left="0" w:firstLine="709"/>
        <w:rPr>
          <w:color w:val="000000"/>
          <w:sz w:val="28"/>
          <w:szCs w:val="28"/>
          <w:lang w:val="ru-RU"/>
        </w:rPr>
      </w:pPr>
      <w:r w:rsidRPr="006E03AA">
        <w:rPr>
          <w:color w:val="000000"/>
          <w:sz w:val="28"/>
          <w:szCs w:val="28"/>
          <w:lang w:val="ru-RU"/>
        </w:rPr>
        <w:t>Еще в сентябре 1991г. был подписан на перспективу Указ Президента «О развитии Тюменской области», предусматривающий разработку и проведение в жизнь комплексной программы. Для ее реализации были созданы Администрация программы и ее исполнительная дирекция. Созданная в соответствии с Указом Президента России администрация программы развития Тюменской области и исполнительная дирекция работают над созданием системы льгот и стимулов для потенциальных инвесторов в экономику области. Исполнительная дирекция программы развития области подготовила перечень примерно из 500 перспективных проектов – некоторые из них уже реализуются, на другие – готовится предварительная документация.</w:t>
      </w:r>
    </w:p>
    <w:p w:rsidR="00316B61" w:rsidRPr="006E03AA" w:rsidRDefault="00316B61" w:rsidP="006E03AA">
      <w:pPr>
        <w:pStyle w:val="a7"/>
        <w:spacing w:after="0"/>
        <w:ind w:left="0" w:firstLine="709"/>
        <w:rPr>
          <w:color w:val="000000"/>
          <w:sz w:val="28"/>
          <w:szCs w:val="28"/>
          <w:lang w:val="ru-RU"/>
        </w:rPr>
      </w:pPr>
      <w:r w:rsidRPr="006E03AA">
        <w:rPr>
          <w:color w:val="000000"/>
          <w:sz w:val="28"/>
          <w:szCs w:val="28"/>
          <w:lang w:val="ru-RU"/>
        </w:rPr>
        <w:t>В Бостоне был проведен первый международный инвестиционный симпозиум. Делегация Тюменской области в составе председателя областно</w:t>
      </w:r>
      <w:r>
        <w:rPr>
          <w:color w:val="000000"/>
          <w:sz w:val="28"/>
          <w:szCs w:val="28"/>
          <w:lang w:val="ru-RU"/>
        </w:rPr>
        <w:t>й Думы, директора п</w:t>
      </w:r>
      <w:r w:rsidRPr="006E03AA">
        <w:rPr>
          <w:color w:val="000000"/>
          <w:sz w:val="28"/>
          <w:szCs w:val="28"/>
          <w:lang w:val="ru-RU"/>
        </w:rPr>
        <w:t>рограммы развития председателя регионального союза предпринимателей</w:t>
      </w:r>
      <w:r>
        <w:rPr>
          <w:color w:val="000000"/>
          <w:sz w:val="28"/>
          <w:szCs w:val="28"/>
          <w:lang w:val="ru-RU"/>
        </w:rPr>
        <w:t>,</w:t>
      </w:r>
      <w:r w:rsidRPr="006E03AA">
        <w:rPr>
          <w:color w:val="000000"/>
          <w:sz w:val="28"/>
          <w:szCs w:val="28"/>
          <w:lang w:val="ru-RU"/>
        </w:rPr>
        <w:t xml:space="preserve"> посетила Бостон и приняла участие в международном экономическом симпозиуме. Главной задачей было представить Тюменский регион, показать его привлекательность для инвестиций, рассказать, что в этом направлении делается областной Думой, администрацией области.</w:t>
      </w:r>
    </w:p>
    <w:p w:rsidR="00316B61" w:rsidRPr="006E03AA" w:rsidRDefault="00316B61" w:rsidP="006E03AA">
      <w:pPr>
        <w:pStyle w:val="a7"/>
        <w:spacing w:after="0"/>
        <w:ind w:left="0" w:firstLine="709"/>
        <w:rPr>
          <w:color w:val="000000"/>
          <w:sz w:val="28"/>
          <w:szCs w:val="28"/>
          <w:lang w:val="ru-RU"/>
        </w:rPr>
      </w:pPr>
      <w:r w:rsidRPr="006E03AA">
        <w:rPr>
          <w:color w:val="000000"/>
          <w:sz w:val="28"/>
          <w:szCs w:val="28"/>
          <w:lang w:val="ru-RU"/>
        </w:rPr>
        <w:t>Вообще органы власти Тюменской области проводят инвестиционную политику, которая на мой взгляд, должна стать основой повышения инвестиционной активности в регионе.</w:t>
      </w:r>
    </w:p>
    <w:p w:rsidR="00316B61" w:rsidRPr="006E03AA" w:rsidRDefault="00316B61" w:rsidP="006E03AA">
      <w:pPr>
        <w:pStyle w:val="a7"/>
        <w:spacing w:after="0"/>
        <w:ind w:left="0" w:firstLine="709"/>
        <w:rPr>
          <w:color w:val="000000"/>
          <w:sz w:val="28"/>
          <w:szCs w:val="28"/>
          <w:lang w:val="ru-RU"/>
        </w:rPr>
      </w:pPr>
      <w:r w:rsidRPr="006E03AA">
        <w:rPr>
          <w:color w:val="000000"/>
          <w:sz w:val="28"/>
          <w:szCs w:val="28"/>
          <w:lang w:val="ru-RU"/>
        </w:rPr>
        <w:t>Реализация государственной инвестиционной политики в отдельных субъектах федерации идет по пути принятия региональных инвестиционных программ, имеющих структуру и принципы, аналогичные федеральной концепции. Инвестиционная программа представляет собой совокупность инвестиционных проектов, выбранных на конкурсной основе, и позволяет сконцентрировать на решении неотложных задач</w:t>
      </w:r>
      <w:r>
        <w:rPr>
          <w:color w:val="000000"/>
          <w:sz w:val="28"/>
          <w:szCs w:val="28"/>
          <w:lang w:val="ru-RU"/>
        </w:rPr>
        <w:t>,</w:t>
      </w:r>
      <w:r w:rsidRPr="006E03AA">
        <w:rPr>
          <w:color w:val="000000"/>
          <w:sz w:val="28"/>
          <w:szCs w:val="28"/>
          <w:lang w:val="ru-RU"/>
        </w:rPr>
        <w:t xml:space="preserve"> средства как частных инвесторов, так и местных бюджетов. Это дает дополнительные гарантии инвесторам, делая территорию более привлекательной для инвестирования. Государственная поддержка может осуществляться посредствам предоставления бюджетных ссуд, товарных кредитов или участия в учреждении хозяйствующих единиц (при закреплении в государственной собственности части уставного капитала), льготного налогообложения.</w:t>
      </w:r>
    </w:p>
    <w:p w:rsidR="00316B61" w:rsidRPr="006E03AA" w:rsidRDefault="00316B61" w:rsidP="006E03AA">
      <w:pPr>
        <w:pStyle w:val="a7"/>
        <w:spacing w:after="0"/>
        <w:ind w:left="0" w:firstLine="709"/>
        <w:rPr>
          <w:color w:val="000000"/>
          <w:sz w:val="28"/>
          <w:szCs w:val="28"/>
          <w:lang w:val="ru-RU"/>
        </w:rPr>
      </w:pPr>
      <w:r w:rsidRPr="006E03AA">
        <w:rPr>
          <w:color w:val="000000"/>
          <w:sz w:val="28"/>
          <w:szCs w:val="28"/>
          <w:lang w:val="ru-RU"/>
        </w:rPr>
        <w:t xml:space="preserve">Одним из источников внутренних инвестиций предполагается привлечение средств населения. По неофициальным данным на руках у населения находится до 60 млрд. долларов, которые являются «мертвым грузом», неработающими деньгами. Необходимо создать такие условия, при которых бы произошло привлечение именно этих денег, из средств населения, что явилось бы значимым фактором для инвестиционной деятельности государства. Однако. Это можно лишь достичь путем повышения доверия государству среди населения. Проблема льготного налогообложения инвесторов занимает важное место в инвестиционной политике. </w:t>
      </w:r>
    </w:p>
    <w:p w:rsidR="00316B61" w:rsidRPr="006E03AA" w:rsidRDefault="00316B61" w:rsidP="006E03AA">
      <w:pPr>
        <w:pStyle w:val="a7"/>
        <w:spacing w:after="0"/>
        <w:ind w:left="0" w:firstLine="709"/>
        <w:rPr>
          <w:color w:val="000000"/>
          <w:sz w:val="28"/>
          <w:szCs w:val="28"/>
          <w:lang w:val="ru-RU"/>
        </w:rPr>
      </w:pPr>
      <w:r w:rsidRPr="006E03AA">
        <w:rPr>
          <w:color w:val="000000"/>
          <w:sz w:val="28"/>
          <w:szCs w:val="28"/>
          <w:lang w:val="ru-RU"/>
        </w:rPr>
        <w:t>Вопросы участия нефтегазодобывающих компаний в социально-экономическом развитии региона являются так же крайне важными и затрагивают не только интересы Тюменской области и входящих в ее состав Ямало-Ненецкого и Ханты-Мансийского автономных округов, но и других субъектов РФ.</w:t>
      </w:r>
    </w:p>
    <w:p w:rsidR="00316B61" w:rsidRPr="006E03AA" w:rsidRDefault="00316B61" w:rsidP="006E03AA">
      <w:pPr>
        <w:pStyle w:val="a7"/>
        <w:spacing w:after="0"/>
        <w:ind w:left="0" w:firstLine="709"/>
        <w:rPr>
          <w:color w:val="000000"/>
          <w:sz w:val="28"/>
          <w:szCs w:val="28"/>
          <w:lang w:val="ru-RU"/>
        </w:rPr>
      </w:pPr>
      <w:r w:rsidRPr="006E03AA">
        <w:rPr>
          <w:color w:val="000000"/>
          <w:sz w:val="28"/>
          <w:szCs w:val="28"/>
          <w:lang w:val="ru-RU"/>
        </w:rPr>
        <w:t xml:space="preserve">Перспективным, с моей точки зрения, считается следующий подход. В лицензионных соглашениях о пользовании недрами может оговариваться, что заказы на оборудование, необходимое для освоения месторождений полезных ископаемых, будут размещаться на машиностроительных предприятиях региона. Так в законе Тюменской области «О предоставлении налоговых льгот», принятом областной Думой в августе </w:t>
      </w:r>
      <w:r>
        <w:rPr>
          <w:color w:val="000000"/>
          <w:sz w:val="28"/>
          <w:szCs w:val="28"/>
          <w:lang w:val="ru-RU"/>
        </w:rPr>
        <w:t>200</w:t>
      </w:r>
      <w:r w:rsidRPr="006E03AA">
        <w:rPr>
          <w:color w:val="000000"/>
          <w:sz w:val="28"/>
          <w:szCs w:val="28"/>
          <w:lang w:val="ru-RU"/>
        </w:rPr>
        <w:t>7г. есть специальное условие предоставления льгот на уплату платежей за пользование недрами. Эти платежи уменьшаются на 5% компаниям, занимающимся разработкой, добычей и переработкой нефти и газа, которые заказывают необходимое для этого оборудование машиностроительным предприятиям Тюменской области.</w:t>
      </w:r>
    </w:p>
    <w:p w:rsidR="00316B61" w:rsidRPr="006E03AA" w:rsidRDefault="00316B61" w:rsidP="006E03AA">
      <w:pPr>
        <w:pStyle w:val="a7"/>
        <w:spacing w:after="0"/>
        <w:ind w:left="0" w:firstLine="709"/>
        <w:rPr>
          <w:color w:val="000000"/>
          <w:sz w:val="28"/>
          <w:szCs w:val="28"/>
          <w:lang w:val="ru-RU"/>
        </w:rPr>
      </w:pPr>
      <w:r w:rsidRPr="006E03AA">
        <w:rPr>
          <w:color w:val="000000"/>
          <w:sz w:val="28"/>
          <w:szCs w:val="28"/>
          <w:lang w:val="ru-RU"/>
        </w:rPr>
        <w:t>Стоит вопрос о развитии минерально-сырьевой базы добычи в южных районах Тюменской области, где развита инфраструктура и сосредоточены значительные ресурсы населения. Однако отчисления на воспроизводство минерально-сырьевой базы от добычи углеводородного сырья в этих районах незначительные. Распределение средств от части добычи углеводородного сырья на территории Ханты-Мансийского и Ямало-Ненецкого округов в эти районы позволило бы создать базы добычи на обжитых южных территориях Западной Сибири.</w:t>
      </w:r>
    </w:p>
    <w:p w:rsidR="00316B61" w:rsidRPr="006E03AA" w:rsidRDefault="00316B61" w:rsidP="006E03AA">
      <w:pPr>
        <w:pStyle w:val="a7"/>
        <w:spacing w:after="0"/>
        <w:ind w:left="0" w:firstLine="709"/>
        <w:rPr>
          <w:color w:val="000000"/>
          <w:sz w:val="28"/>
          <w:szCs w:val="28"/>
          <w:lang w:val="ru-RU"/>
        </w:rPr>
      </w:pPr>
      <w:r w:rsidRPr="006E03AA">
        <w:rPr>
          <w:color w:val="000000"/>
          <w:sz w:val="28"/>
          <w:szCs w:val="28"/>
          <w:lang w:val="ru-RU"/>
        </w:rPr>
        <w:t>Важным направлением активизации инвестици</w:t>
      </w:r>
      <w:r>
        <w:rPr>
          <w:color w:val="000000"/>
          <w:sz w:val="28"/>
          <w:szCs w:val="28"/>
          <w:lang w:val="ru-RU"/>
        </w:rPr>
        <w:t xml:space="preserve">онной деятельности предприятий, </w:t>
      </w:r>
      <w:r w:rsidRPr="006E03AA">
        <w:rPr>
          <w:color w:val="000000"/>
          <w:sz w:val="28"/>
          <w:szCs w:val="28"/>
          <w:lang w:val="ru-RU"/>
        </w:rPr>
        <w:t>является политика реструктуризации задолженности предприятий перед региональным бюджетом. Так, администрация Ханты-Мансийского автономного округа использует особую форму поддержки инвестиционной деятельности предприятий нефтяной промышленности от уплаты долгов по налогам при условии гарантий реализации инвестиционных проектов по обновлению и реконструкции.</w:t>
      </w:r>
    </w:p>
    <w:p w:rsidR="00316B61" w:rsidRPr="006E03AA" w:rsidRDefault="00316B61" w:rsidP="006E03AA">
      <w:pPr>
        <w:rPr>
          <w:color w:val="000000"/>
          <w:sz w:val="28"/>
          <w:szCs w:val="28"/>
          <w:lang w:val="ru-RU"/>
        </w:rPr>
      </w:pPr>
      <w:r w:rsidRPr="006E03AA">
        <w:rPr>
          <w:color w:val="000000"/>
          <w:sz w:val="28"/>
          <w:szCs w:val="28"/>
          <w:lang w:val="ru-RU"/>
        </w:rPr>
        <w:t>Из проведенного анализа вытекает, что в качестве основных направлений повышения эффективности инвестиционной деятельности, в настоящее время и в ближайшей перспективе на территории Тюменской области, можно назвать:</w:t>
      </w:r>
    </w:p>
    <w:p w:rsidR="00316B61" w:rsidRPr="006E03AA" w:rsidRDefault="00316B61" w:rsidP="006E03AA">
      <w:pPr>
        <w:numPr>
          <w:ilvl w:val="0"/>
          <w:numId w:val="7"/>
        </w:numPr>
        <w:tabs>
          <w:tab w:val="clear" w:pos="2495"/>
          <w:tab w:val="left" w:pos="912"/>
        </w:tabs>
        <w:overflowPunct/>
        <w:autoSpaceDE/>
        <w:autoSpaceDN/>
        <w:adjustRightInd/>
        <w:ind w:left="0" w:firstLine="709"/>
        <w:textAlignment w:val="auto"/>
        <w:rPr>
          <w:color w:val="000000"/>
          <w:sz w:val="28"/>
          <w:szCs w:val="28"/>
          <w:lang w:val="ru-RU"/>
        </w:rPr>
      </w:pPr>
      <w:r w:rsidRPr="006E03AA">
        <w:rPr>
          <w:color w:val="000000"/>
          <w:sz w:val="28"/>
          <w:szCs w:val="28"/>
          <w:lang w:val="ru-RU"/>
        </w:rPr>
        <w:t>улучшение воспроизводственной структуры капиталовложений, повышение удельного веса затрат на техническое перевооружение и реконструкцию действующих предприятий за счет уменьшения удельного веса нового строительства в производственной сфере;</w:t>
      </w:r>
    </w:p>
    <w:p w:rsidR="00316B61" w:rsidRPr="006E03AA" w:rsidRDefault="00316B61" w:rsidP="006E03AA">
      <w:pPr>
        <w:numPr>
          <w:ilvl w:val="0"/>
          <w:numId w:val="7"/>
        </w:numPr>
        <w:tabs>
          <w:tab w:val="clear" w:pos="2495"/>
          <w:tab w:val="left" w:pos="912"/>
        </w:tabs>
        <w:overflowPunct/>
        <w:autoSpaceDE/>
        <w:autoSpaceDN/>
        <w:adjustRightInd/>
        <w:ind w:left="0" w:firstLine="709"/>
        <w:textAlignment w:val="auto"/>
        <w:rPr>
          <w:color w:val="000000"/>
          <w:sz w:val="28"/>
          <w:szCs w:val="28"/>
          <w:lang w:val="ru-RU"/>
        </w:rPr>
      </w:pPr>
      <w:r w:rsidRPr="006E03AA">
        <w:rPr>
          <w:color w:val="000000"/>
          <w:sz w:val="28"/>
          <w:szCs w:val="28"/>
          <w:lang w:val="ru-RU"/>
        </w:rPr>
        <w:t>усовершенствование технологической структуры капитальных вложений, увеличение в их составе удельного веса оборудования и сокращение, соответственно, строительно-монтажных работ;</w:t>
      </w:r>
    </w:p>
    <w:p w:rsidR="00316B61" w:rsidRPr="006E03AA" w:rsidRDefault="00316B61" w:rsidP="006E03AA">
      <w:pPr>
        <w:numPr>
          <w:ilvl w:val="0"/>
          <w:numId w:val="7"/>
        </w:numPr>
        <w:tabs>
          <w:tab w:val="clear" w:pos="2495"/>
          <w:tab w:val="left" w:pos="912"/>
        </w:tabs>
        <w:overflowPunct/>
        <w:autoSpaceDE/>
        <w:autoSpaceDN/>
        <w:adjustRightInd/>
        <w:ind w:left="0" w:firstLine="709"/>
        <w:textAlignment w:val="auto"/>
        <w:rPr>
          <w:color w:val="000000"/>
          <w:sz w:val="28"/>
          <w:szCs w:val="28"/>
          <w:lang w:val="ru-RU"/>
        </w:rPr>
      </w:pPr>
      <w:r w:rsidRPr="006E03AA">
        <w:rPr>
          <w:color w:val="000000"/>
          <w:sz w:val="28"/>
          <w:szCs w:val="28"/>
          <w:lang w:val="ru-RU"/>
        </w:rPr>
        <w:t>изменение отраслевой структуры капитальных вложений с точки зрения значительного повышения жизненного уровня населения, в пользу отраслей, которые вырабатывают продукты питания и предметы личного потребления (сельское хозяйство, перерабатывающие отрасли, легкая и пищевая промышленность), сфера обслуживания;</w:t>
      </w:r>
    </w:p>
    <w:p w:rsidR="00316B61" w:rsidRPr="006E03AA" w:rsidRDefault="00316B61" w:rsidP="006E03AA">
      <w:pPr>
        <w:numPr>
          <w:ilvl w:val="0"/>
          <w:numId w:val="7"/>
        </w:numPr>
        <w:tabs>
          <w:tab w:val="clear" w:pos="2495"/>
        </w:tabs>
        <w:overflowPunct/>
        <w:autoSpaceDE/>
        <w:autoSpaceDN/>
        <w:adjustRightInd/>
        <w:ind w:left="0" w:firstLine="709"/>
        <w:textAlignment w:val="auto"/>
        <w:rPr>
          <w:color w:val="000000"/>
          <w:sz w:val="28"/>
          <w:szCs w:val="28"/>
          <w:lang w:val="ru-RU"/>
        </w:rPr>
      </w:pPr>
      <w:r w:rsidRPr="006E03AA">
        <w:rPr>
          <w:color w:val="000000"/>
          <w:sz w:val="28"/>
          <w:szCs w:val="28"/>
          <w:lang w:val="ru-RU"/>
        </w:rPr>
        <w:t>приоритетное обеспечение капитальными вложениями прогрессивных направлений научно-технического прогресса, которые способствуют снижению ресурсоемкости производства и повышению качества продукции;</w:t>
      </w:r>
    </w:p>
    <w:p w:rsidR="00316B61" w:rsidRPr="006E03AA" w:rsidRDefault="00316B61" w:rsidP="006E03AA">
      <w:pPr>
        <w:numPr>
          <w:ilvl w:val="0"/>
          <w:numId w:val="7"/>
        </w:numPr>
        <w:tabs>
          <w:tab w:val="clear" w:pos="2495"/>
        </w:tabs>
        <w:overflowPunct/>
        <w:autoSpaceDE/>
        <w:autoSpaceDN/>
        <w:adjustRightInd/>
        <w:ind w:left="0" w:firstLine="709"/>
        <w:textAlignment w:val="auto"/>
        <w:rPr>
          <w:color w:val="000000"/>
          <w:sz w:val="28"/>
          <w:szCs w:val="28"/>
          <w:lang w:val="ru-RU"/>
        </w:rPr>
      </w:pPr>
      <w:r w:rsidRPr="006E03AA">
        <w:rPr>
          <w:color w:val="000000"/>
          <w:sz w:val="28"/>
          <w:szCs w:val="28"/>
          <w:lang w:val="ru-RU"/>
        </w:rPr>
        <w:t>увеличение объемов капитальных вложений на строительство комфортного жилья и других объектов общественного пользования и медицинского обеспечения;</w:t>
      </w:r>
    </w:p>
    <w:p w:rsidR="00316B61" w:rsidRPr="006E03AA" w:rsidRDefault="00316B61" w:rsidP="006E03AA">
      <w:pPr>
        <w:numPr>
          <w:ilvl w:val="0"/>
          <w:numId w:val="7"/>
        </w:numPr>
        <w:tabs>
          <w:tab w:val="clear" w:pos="2495"/>
        </w:tabs>
        <w:overflowPunct/>
        <w:autoSpaceDE/>
        <w:autoSpaceDN/>
        <w:adjustRightInd/>
        <w:ind w:left="0" w:firstLine="709"/>
        <w:textAlignment w:val="auto"/>
        <w:rPr>
          <w:color w:val="000000"/>
          <w:sz w:val="28"/>
          <w:szCs w:val="28"/>
        </w:rPr>
      </w:pPr>
      <w:r w:rsidRPr="006E03AA">
        <w:rPr>
          <w:color w:val="000000"/>
          <w:sz w:val="28"/>
          <w:szCs w:val="28"/>
        </w:rPr>
        <w:t>сбалансированность инвестиционного цикла.</w:t>
      </w:r>
    </w:p>
    <w:p w:rsidR="00316B61" w:rsidRPr="006E03AA" w:rsidRDefault="00316B61" w:rsidP="006E03AA">
      <w:pPr>
        <w:rPr>
          <w:color w:val="000000"/>
          <w:sz w:val="28"/>
          <w:szCs w:val="28"/>
          <w:lang w:val="ru-RU"/>
        </w:rPr>
      </w:pPr>
      <w:r w:rsidRPr="006E03AA">
        <w:rPr>
          <w:color w:val="000000"/>
          <w:sz w:val="28"/>
          <w:szCs w:val="28"/>
          <w:lang w:val="ru-RU"/>
        </w:rPr>
        <w:t>Внедрение выше изложенных мероприятий в ближайшей перспективе в Тюменской области будет способствовать росту инвестиционной привлекательности региона и укреплению инвестиционного климата, что безусловно будет способствовать привлечению дополнительных источников инвестиций , как отечественных, так и зарубежных.</w:t>
      </w:r>
    </w:p>
    <w:p w:rsidR="00316B61" w:rsidRPr="006E03AA" w:rsidRDefault="00316B61" w:rsidP="006E03AA">
      <w:pPr>
        <w:pStyle w:val="1"/>
        <w:jc w:val="both"/>
        <w:rPr>
          <w:b w:val="0"/>
          <w:bCs w:val="0"/>
          <w:color w:val="000000"/>
          <w:sz w:val="28"/>
          <w:szCs w:val="28"/>
        </w:rPr>
      </w:pPr>
    </w:p>
    <w:p w:rsidR="00316B61" w:rsidRPr="006E03AA" w:rsidRDefault="00316B61" w:rsidP="006E03AA">
      <w:pPr>
        <w:ind w:firstLine="0"/>
        <w:rPr>
          <w:sz w:val="28"/>
          <w:szCs w:val="28"/>
          <w:lang w:val="ru-RU"/>
        </w:rPr>
      </w:pPr>
    </w:p>
    <w:p w:rsidR="00316B61" w:rsidRDefault="00316B61" w:rsidP="002429A7">
      <w:pPr>
        <w:widowControl w:val="0"/>
        <w:shd w:val="clear" w:color="auto" w:fill="FFFFFF"/>
        <w:tabs>
          <w:tab w:val="left" w:pos="993"/>
        </w:tabs>
        <w:ind w:firstLine="0"/>
        <w:rPr>
          <w:sz w:val="28"/>
          <w:szCs w:val="28"/>
          <w:lang w:val="ru-RU"/>
        </w:rPr>
      </w:pPr>
    </w:p>
    <w:p w:rsidR="00316B61" w:rsidRDefault="00316B61" w:rsidP="002429A7">
      <w:pPr>
        <w:widowControl w:val="0"/>
        <w:shd w:val="clear" w:color="auto" w:fill="FFFFFF"/>
        <w:tabs>
          <w:tab w:val="left" w:pos="993"/>
        </w:tabs>
        <w:ind w:firstLine="0"/>
        <w:rPr>
          <w:sz w:val="28"/>
          <w:szCs w:val="28"/>
          <w:lang w:val="ru-RU"/>
        </w:rPr>
      </w:pPr>
    </w:p>
    <w:p w:rsidR="00316B61" w:rsidRDefault="00316B61" w:rsidP="002429A7">
      <w:pPr>
        <w:widowControl w:val="0"/>
        <w:shd w:val="clear" w:color="auto" w:fill="FFFFFF"/>
        <w:tabs>
          <w:tab w:val="left" w:pos="993"/>
        </w:tabs>
        <w:ind w:firstLine="0"/>
        <w:rPr>
          <w:sz w:val="28"/>
          <w:szCs w:val="28"/>
          <w:lang w:val="ru-RU"/>
        </w:rPr>
      </w:pPr>
    </w:p>
    <w:p w:rsidR="00316B61" w:rsidRDefault="00316B61" w:rsidP="002429A7">
      <w:pPr>
        <w:widowControl w:val="0"/>
        <w:shd w:val="clear" w:color="auto" w:fill="FFFFFF"/>
        <w:tabs>
          <w:tab w:val="left" w:pos="993"/>
        </w:tabs>
        <w:ind w:firstLine="0"/>
        <w:rPr>
          <w:sz w:val="28"/>
          <w:szCs w:val="28"/>
          <w:lang w:val="ru-RU"/>
        </w:rPr>
      </w:pPr>
    </w:p>
    <w:p w:rsidR="00316B61" w:rsidRDefault="00316B61" w:rsidP="001C3840">
      <w:pPr>
        <w:pStyle w:val="af0"/>
        <w:spacing w:before="0" w:beforeAutospacing="0" w:after="0" w:afterAutospacing="0" w:line="360" w:lineRule="auto"/>
        <w:ind w:firstLine="709"/>
        <w:jc w:val="center"/>
        <w:rPr>
          <w:b/>
          <w:color w:val="000000"/>
          <w:sz w:val="28"/>
          <w:szCs w:val="28"/>
        </w:rPr>
      </w:pPr>
      <w:r w:rsidRPr="003B5B3B">
        <w:rPr>
          <w:b/>
          <w:color w:val="000000"/>
          <w:sz w:val="28"/>
          <w:szCs w:val="28"/>
        </w:rPr>
        <w:t>Заключение</w:t>
      </w:r>
    </w:p>
    <w:p w:rsidR="00316B61" w:rsidRPr="003B5B3B" w:rsidRDefault="00316B61" w:rsidP="001C3840">
      <w:pPr>
        <w:pStyle w:val="af0"/>
        <w:spacing w:before="0" w:beforeAutospacing="0" w:after="0" w:afterAutospacing="0" w:line="360" w:lineRule="auto"/>
        <w:ind w:firstLine="709"/>
        <w:jc w:val="center"/>
        <w:rPr>
          <w:b/>
          <w:color w:val="000000"/>
          <w:sz w:val="28"/>
          <w:szCs w:val="28"/>
        </w:rPr>
      </w:pPr>
    </w:p>
    <w:p w:rsidR="00316B61" w:rsidRPr="003B5B3B" w:rsidRDefault="00316B61" w:rsidP="001C3840">
      <w:pPr>
        <w:pStyle w:val="af0"/>
        <w:spacing w:before="0" w:beforeAutospacing="0" w:after="0" w:afterAutospacing="0" w:line="360" w:lineRule="auto"/>
        <w:ind w:firstLine="709"/>
        <w:jc w:val="both"/>
        <w:rPr>
          <w:color w:val="000000"/>
          <w:sz w:val="28"/>
          <w:szCs w:val="28"/>
        </w:rPr>
      </w:pPr>
      <w:r w:rsidRPr="003B5B3B">
        <w:rPr>
          <w:color w:val="000000"/>
          <w:sz w:val="28"/>
          <w:szCs w:val="28"/>
        </w:rPr>
        <w:t>В ре</w:t>
      </w:r>
      <w:r>
        <w:rPr>
          <w:color w:val="000000"/>
          <w:sz w:val="28"/>
          <w:szCs w:val="28"/>
        </w:rPr>
        <w:t>зультате проделанной работы был</w:t>
      </w:r>
      <w:r w:rsidRPr="003B5B3B">
        <w:rPr>
          <w:color w:val="000000"/>
          <w:sz w:val="28"/>
          <w:szCs w:val="28"/>
        </w:rPr>
        <w:t xml:space="preserve"> проведен анализ инвестиционной привлекательности Тюменской области. Под инвестиционной привлекательностью будем понимать совокупность критериев, побуждающих инвестора относиться с предпочтением к вложению капитала в данный регион. Достоинством региона является отсутствие на значительной его части каких-либо загрязнений окружающей природной среды, что дает возможность, например, производить экологически чистые продукты питания. Исключение составляет областной центр с большими объемами выбросов автотранспортом, а также состояние отдельных рек, приносящих загрязняющие вещества из соседних регионов.</w:t>
      </w:r>
    </w:p>
    <w:p w:rsidR="00316B61" w:rsidRPr="003B5B3B" w:rsidRDefault="00316B61" w:rsidP="001C3840">
      <w:pPr>
        <w:pStyle w:val="af0"/>
        <w:spacing w:before="0" w:beforeAutospacing="0" w:after="0" w:afterAutospacing="0" w:line="360" w:lineRule="auto"/>
        <w:ind w:firstLine="709"/>
        <w:jc w:val="both"/>
        <w:rPr>
          <w:color w:val="000000"/>
          <w:sz w:val="28"/>
          <w:szCs w:val="28"/>
        </w:rPr>
      </w:pPr>
      <w:r w:rsidRPr="003B5B3B">
        <w:rPr>
          <w:color w:val="000000"/>
          <w:sz w:val="28"/>
          <w:szCs w:val="28"/>
        </w:rPr>
        <w:t>К основным экономико-географическим и политическим условиям инвестирования в Тюменскую область можно отнести:</w:t>
      </w:r>
    </w:p>
    <w:p w:rsidR="00316B61" w:rsidRPr="003B5B3B" w:rsidRDefault="00316B61" w:rsidP="001C3840">
      <w:pPr>
        <w:pStyle w:val="af0"/>
        <w:spacing w:before="0" w:beforeAutospacing="0" w:after="0" w:afterAutospacing="0" w:line="360" w:lineRule="auto"/>
        <w:ind w:firstLine="709"/>
        <w:jc w:val="both"/>
        <w:rPr>
          <w:color w:val="000000"/>
          <w:sz w:val="28"/>
          <w:szCs w:val="28"/>
        </w:rPr>
      </w:pPr>
      <w:r w:rsidRPr="003B5B3B">
        <w:rPr>
          <w:color w:val="000000"/>
          <w:sz w:val="28"/>
          <w:szCs w:val="28"/>
        </w:rPr>
        <w:t>- богатство природных ресурсов;</w:t>
      </w:r>
    </w:p>
    <w:p w:rsidR="00316B61" w:rsidRPr="003B5B3B" w:rsidRDefault="00316B61" w:rsidP="001C3840">
      <w:pPr>
        <w:pStyle w:val="af0"/>
        <w:spacing w:before="0" w:beforeAutospacing="0" w:after="0" w:afterAutospacing="0" w:line="360" w:lineRule="auto"/>
        <w:ind w:firstLine="709"/>
        <w:jc w:val="both"/>
        <w:rPr>
          <w:color w:val="000000"/>
          <w:sz w:val="28"/>
          <w:szCs w:val="28"/>
        </w:rPr>
      </w:pPr>
      <w:r w:rsidRPr="003B5B3B">
        <w:rPr>
          <w:color w:val="000000"/>
          <w:sz w:val="28"/>
          <w:szCs w:val="28"/>
        </w:rPr>
        <w:t>- преобладание отраслей топливно-энергетического комплекса;</w:t>
      </w:r>
    </w:p>
    <w:p w:rsidR="00316B61" w:rsidRPr="003B5B3B" w:rsidRDefault="00316B61" w:rsidP="001C3840">
      <w:pPr>
        <w:pStyle w:val="af0"/>
        <w:spacing w:before="0" w:beforeAutospacing="0" w:after="0" w:afterAutospacing="0" w:line="360" w:lineRule="auto"/>
        <w:ind w:firstLine="709"/>
        <w:jc w:val="both"/>
        <w:rPr>
          <w:color w:val="000000"/>
          <w:sz w:val="28"/>
          <w:szCs w:val="28"/>
        </w:rPr>
      </w:pPr>
      <w:r w:rsidRPr="003B5B3B">
        <w:rPr>
          <w:color w:val="000000"/>
          <w:sz w:val="28"/>
          <w:szCs w:val="28"/>
        </w:rPr>
        <w:t>- повышение доли перерабатывающей промышленности, в том числе переработки углеводородного сырья;</w:t>
      </w:r>
    </w:p>
    <w:p w:rsidR="00316B61" w:rsidRPr="003B5B3B" w:rsidRDefault="00316B61" w:rsidP="001C3840">
      <w:pPr>
        <w:pStyle w:val="af0"/>
        <w:spacing w:before="0" w:beforeAutospacing="0" w:after="0" w:afterAutospacing="0" w:line="360" w:lineRule="auto"/>
        <w:ind w:firstLine="709"/>
        <w:jc w:val="both"/>
        <w:rPr>
          <w:color w:val="000000"/>
          <w:sz w:val="28"/>
          <w:szCs w:val="28"/>
        </w:rPr>
      </w:pPr>
      <w:r w:rsidRPr="003B5B3B">
        <w:rPr>
          <w:color w:val="000000"/>
          <w:sz w:val="28"/>
          <w:szCs w:val="28"/>
        </w:rPr>
        <w:t>- наличие квалифицированной рабочей силы;</w:t>
      </w:r>
    </w:p>
    <w:p w:rsidR="00316B61" w:rsidRPr="003B5B3B" w:rsidRDefault="00316B61" w:rsidP="001C3840">
      <w:pPr>
        <w:pStyle w:val="af0"/>
        <w:spacing w:before="0" w:beforeAutospacing="0" w:after="0" w:afterAutospacing="0" w:line="360" w:lineRule="auto"/>
        <w:ind w:firstLine="709"/>
        <w:jc w:val="both"/>
        <w:rPr>
          <w:color w:val="000000"/>
          <w:sz w:val="28"/>
          <w:szCs w:val="28"/>
        </w:rPr>
      </w:pPr>
      <w:r w:rsidRPr="003B5B3B">
        <w:rPr>
          <w:color w:val="000000"/>
          <w:sz w:val="28"/>
          <w:szCs w:val="28"/>
        </w:rPr>
        <w:t>- высокий платежеспособный спрос на потребительские товары и услуги;</w:t>
      </w:r>
    </w:p>
    <w:p w:rsidR="00316B61" w:rsidRPr="003B5B3B" w:rsidRDefault="00316B61" w:rsidP="001C3840">
      <w:pPr>
        <w:pStyle w:val="af0"/>
        <w:spacing w:before="0" w:beforeAutospacing="0" w:after="0" w:afterAutospacing="0" w:line="360" w:lineRule="auto"/>
        <w:ind w:firstLine="709"/>
        <w:jc w:val="both"/>
        <w:rPr>
          <w:color w:val="000000"/>
          <w:sz w:val="28"/>
          <w:szCs w:val="28"/>
        </w:rPr>
      </w:pPr>
      <w:r w:rsidRPr="003B5B3B">
        <w:rPr>
          <w:color w:val="000000"/>
          <w:sz w:val="28"/>
          <w:szCs w:val="28"/>
        </w:rPr>
        <w:t>- политическая стабильность;</w:t>
      </w:r>
    </w:p>
    <w:p w:rsidR="00316B61" w:rsidRPr="003B5B3B" w:rsidRDefault="00316B61" w:rsidP="001C3840">
      <w:pPr>
        <w:pStyle w:val="af0"/>
        <w:spacing w:before="0" w:beforeAutospacing="0" w:after="0" w:afterAutospacing="0" w:line="360" w:lineRule="auto"/>
        <w:ind w:firstLine="709"/>
        <w:jc w:val="both"/>
        <w:rPr>
          <w:color w:val="000000"/>
          <w:sz w:val="28"/>
          <w:szCs w:val="28"/>
        </w:rPr>
      </w:pPr>
      <w:r w:rsidRPr="003B5B3B">
        <w:rPr>
          <w:color w:val="000000"/>
          <w:sz w:val="28"/>
          <w:szCs w:val="28"/>
        </w:rPr>
        <w:t>- инвестиционное законодательство, обеспечивающее систему государственных гарантий и налоговых льгот инвесторам.</w:t>
      </w:r>
    </w:p>
    <w:p w:rsidR="00316B61" w:rsidRPr="003B5B3B" w:rsidRDefault="00316B61" w:rsidP="001C3840">
      <w:pPr>
        <w:pStyle w:val="af0"/>
        <w:spacing w:before="0" w:beforeAutospacing="0" w:after="0" w:afterAutospacing="0" w:line="360" w:lineRule="auto"/>
        <w:ind w:firstLine="709"/>
        <w:jc w:val="both"/>
        <w:rPr>
          <w:color w:val="000000"/>
          <w:sz w:val="28"/>
          <w:szCs w:val="28"/>
        </w:rPr>
      </w:pPr>
      <w:r w:rsidRPr="003B5B3B">
        <w:rPr>
          <w:color w:val="000000"/>
          <w:sz w:val="28"/>
          <w:szCs w:val="28"/>
        </w:rPr>
        <w:t>Тюменская область относится к числу регионов с наиболее высокой инвестиционной активностью. Наибольший объем инвестиций в основной капитал направлен в промышленность и транспорт.</w:t>
      </w:r>
    </w:p>
    <w:p w:rsidR="00316B61" w:rsidRPr="001C3840" w:rsidRDefault="00316B61" w:rsidP="001C3840">
      <w:pPr>
        <w:rPr>
          <w:sz w:val="28"/>
          <w:szCs w:val="28"/>
          <w:lang w:val="ru-RU"/>
        </w:rPr>
      </w:pPr>
      <w:r>
        <w:rPr>
          <w:color w:val="000000"/>
          <w:sz w:val="28"/>
          <w:szCs w:val="28"/>
          <w:lang w:val="ru-RU"/>
        </w:rPr>
        <w:t xml:space="preserve"> </w:t>
      </w:r>
      <w:r w:rsidRPr="001C3840">
        <w:rPr>
          <w:color w:val="000000"/>
          <w:sz w:val="28"/>
          <w:szCs w:val="28"/>
          <w:lang w:val="ru-RU"/>
        </w:rPr>
        <w:t>Область является одним из перспективных регионов РФ для выгодного вложения иностранного капитала.</w:t>
      </w:r>
    </w:p>
    <w:p w:rsidR="00316B61" w:rsidRDefault="00316B61" w:rsidP="002429A7">
      <w:pPr>
        <w:widowControl w:val="0"/>
        <w:shd w:val="clear" w:color="auto" w:fill="FFFFFF"/>
        <w:tabs>
          <w:tab w:val="left" w:pos="993"/>
        </w:tabs>
        <w:ind w:firstLine="0"/>
        <w:rPr>
          <w:sz w:val="28"/>
          <w:szCs w:val="28"/>
          <w:lang w:val="ru-RU"/>
        </w:rPr>
      </w:pPr>
    </w:p>
    <w:p w:rsidR="00316B61" w:rsidRPr="00057783" w:rsidRDefault="00316B61" w:rsidP="001C3840">
      <w:pPr>
        <w:jc w:val="center"/>
        <w:rPr>
          <w:b/>
          <w:sz w:val="28"/>
          <w:szCs w:val="28"/>
        </w:rPr>
      </w:pPr>
      <w:r w:rsidRPr="00057783">
        <w:rPr>
          <w:b/>
          <w:sz w:val="28"/>
          <w:szCs w:val="28"/>
        </w:rPr>
        <w:t>Список использованных источников:</w:t>
      </w:r>
    </w:p>
    <w:p w:rsidR="00316B61" w:rsidRPr="00057783" w:rsidRDefault="00316B61" w:rsidP="001C3840">
      <w:pPr>
        <w:rPr>
          <w:sz w:val="28"/>
          <w:szCs w:val="28"/>
        </w:rPr>
      </w:pPr>
    </w:p>
    <w:p w:rsidR="00316B61" w:rsidRPr="001C3840" w:rsidRDefault="00316B61" w:rsidP="001C3840">
      <w:pPr>
        <w:numPr>
          <w:ilvl w:val="0"/>
          <w:numId w:val="8"/>
        </w:numPr>
        <w:suppressAutoHyphens/>
        <w:overflowPunct/>
        <w:autoSpaceDE/>
        <w:autoSpaceDN/>
        <w:adjustRightInd/>
        <w:ind w:left="0" w:firstLine="0"/>
        <w:textAlignment w:val="auto"/>
        <w:rPr>
          <w:color w:val="000000"/>
          <w:kern w:val="28"/>
          <w:sz w:val="28"/>
          <w:szCs w:val="28"/>
          <w:lang w:val="ru-RU"/>
        </w:rPr>
      </w:pPr>
      <w:r w:rsidRPr="001C3840">
        <w:rPr>
          <w:color w:val="000000"/>
          <w:kern w:val="28"/>
          <w:sz w:val="28"/>
          <w:szCs w:val="28"/>
          <w:lang w:val="ru-RU"/>
        </w:rPr>
        <w:t>Бекларян Л.А., Сотский С.В. Анализ инвестиционной привлекательности проекта с учетом региональной инвестиционно-финансовой политики. – М.: ЦЭМИ РАН, 2002. – 32 с.</w:t>
      </w:r>
    </w:p>
    <w:p w:rsidR="00316B61" w:rsidRPr="001C3840" w:rsidRDefault="00316B61" w:rsidP="001C3840">
      <w:pPr>
        <w:numPr>
          <w:ilvl w:val="0"/>
          <w:numId w:val="8"/>
        </w:numPr>
        <w:suppressAutoHyphens/>
        <w:overflowPunct/>
        <w:autoSpaceDE/>
        <w:autoSpaceDN/>
        <w:adjustRightInd/>
        <w:ind w:left="0" w:firstLine="0"/>
        <w:textAlignment w:val="auto"/>
        <w:rPr>
          <w:color w:val="000000"/>
          <w:kern w:val="28"/>
          <w:sz w:val="28"/>
          <w:szCs w:val="28"/>
          <w:lang w:val="ru-RU"/>
        </w:rPr>
      </w:pPr>
      <w:r w:rsidRPr="001C3840">
        <w:rPr>
          <w:color w:val="000000"/>
          <w:kern w:val="28"/>
          <w:sz w:val="28"/>
          <w:szCs w:val="28"/>
          <w:lang w:val="ru-RU"/>
        </w:rPr>
        <w:t>Инвестиции. Формы и методы их привлечения: М.: Алгоритм, 2004.</w:t>
      </w:r>
    </w:p>
    <w:p w:rsidR="00316B61" w:rsidRPr="001C3840" w:rsidRDefault="00425EC5" w:rsidP="001C3840">
      <w:pPr>
        <w:numPr>
          <w:ilvl w:val="0"/>
          <w:numId w:val="8"/>
        </w:numPr>
        <w:suppressAutoHyphens/>
        <w:overflowPunct/>
        <w:autoSpaceDE/>
        <w:autoSpaceDN/>
        <w:adjustRightInd/>
        <w:ind w:left="0" w:firstLine="0"/>
        <w:textAlignment w:val="auto"/>
        <w:rPr>
          <w:color w:val="000000"/>
          <w:kern w:val="28"/>
          <w:sz w:val="28"/>
          <w:szCs w:val="28"/>
          <w:lang w:val="ru-RU"/>
        </w:rPr>
      </w:pPr>
      <w:hyperlink r:id="rId8" w:history="1">
        <w:r w:rsidR="00316B61" w:rsidRPr="00057783">
          <w:rPr>
            <w:rStyle w:val="ad"/>
            <w:kern w:val="28"/>
            <w:sz w:val="28"/>
            <w:szCs w:val="28"/>
          </w:rPr>
          <w:t>http</w:t>
        </w:r>
        <w:r w:rsidR="00316B61" w:rsidRPr="001C3840">
          <w:rPr>
            <w:rStyle w:val="ad"/>
            <w:kern w:val="28"/>
            <w:sz w:val="28"/>
            <w:szCs w:val="28"/>
            <w:lang w:val="ru-RU"/>
          </w:rPr>
          <w:t>://</w:t>
        </w:r>
        <w:r w:rsidR="00316B61" w:rsidRPr="00057783">
          <w:rPr>
            <w:rStyle w:val="ad"/>
            <w:kern w:val="28"/>
            <w:sz w:val="28"/>
            <w:szCs w:val="28"/>
          </w:rPr>
          <w:t>www</w:t>
        </w:r>
        <w:r w:rsidR="00316B61" w:rsidRPr="001C3840">
          <w:rPr>
            <w:rStyle w:val="ad"/>
            <w:kern w:val="28"/>
            <w:sz w:val="28"/>
            <w:szCs w:val="28"/>
            <w:lang w:val="ru-RU"/>
          </w:rPr>
          <w:t>.</w:t>
        </w:r>
        <w:r w:rsidR="00316B61" w:rsidRPr="00057783">
          <w:rPr>
            <w:rStyle w:val="ad"/>
            <w:kern w:val="28"/>
            <w:sz w:val="28"/>
            <w:szCs w:val="28"/>
          </w:rPr>
          <w:t>admtyumen</w:t>
        </w:r>
        <w:r w:rsidR="00316B61" w:rsidRPr="001C3840">
          <w:rPr>
            <w:rStyle w:val="ad"/>
            <w:kern w:val="28"/>
            <w:sz w:val="28"/>
            <w:szCs w:val="28"/>
            <w:lang w:val="ru-RU"/>
          </w:rPr>
          <w:t>.</w:t>
        </w:r>
        <w:r w:rsidR="00316B61" w:rsidRPr="00057783">
          <w:rPr>
            <w:rStyle w:val="ad"/>
            <w:kern w:val="28"/>
            <w:sz w:val="28"/>
            <w:szCs w:val="28"/>
          </w:rPr>
          <w:t>ru</w:t>
        </w:r>
      </w:hyperlink>
      <w:r w:rsidR="00316B61" w:rsidRPr="001C3840">
        <w:rPr>
          <w:color w:val="000000"/>
          <w:kern w:val="28"/>
          <w:sz w:val="28"/>
          <w:szCs w:val="28"/>
          <w:lang w:val="ru-RU"/>
        </w:rPr>
        <w:t xml:space="preserve"> (Официальный сайт Администрации Тюменской области)</w:t>
      </w:r>
    </w:p>
    <w:p w:rsidR="00316B61" w:rsidRPr="00057783" w:rsidRDefault="00425EC5" w:rsidP="001C3840">
      <w:pPr>
        <w:numPr>
          <w:ilvl w:val="0"/>
          <w:numId w:val="8"/>
        </w:numPr>
        <w:suppressAutoHyphens/>
        <w:overflowPunct/>
        <w:autoSpaceDE/>
        <w:autoSpaceDN/>
        <w:adjustRightInd/>
        <w:ind w:left="0" w:firstLine="0"/>
        <w:textAlignment w:val="auto"/>
        <w:rPr>
          <w:color w:val="000000"/>
          <w:kern w:val="28"/>
          <w:sz w:val="28"/>
          <w:szCs w:val="28"/>
        </w:rPr>
      </w:pPr>
      <w:hyperlink r:id="rId9" w:history="1">
        <w:r w:rsidR="00316B61" w:rsidRPr="00057783">
          <w:rPr>
            <w:rStyle w:val="ad"/>
            <w:kern w:val="28"/>
            <w:sz w:val="28"/>
            <w:szCs w:val="28"/>
          </w:rPr>
          <w:t>http://www.72.ru</w:t>
        </w:r>
      </w:hyperlink>
    </w:p>
    <w:p w:rsidR="00316B61" w:rsidRPr="00057783" w:rsidRDefault="00425EC5" w:rsidP="001C3840">
      <w:pPr>
        <w:numPr>
          <w:ilvl w:val="0"/>
          <w:numId w:val="8"/>
        </w:numPr>
        <w:suppressAutoHyphens/>
        <w:overflowPunct/>
        <w:autoSpaceDE/>
        <w:autoSpaceDN/>
        <w:adjustRightInd/>
        <w:ind w:left="0" w:firstLine="0"/>
        <w:textAlignment w:val="auto"/>
        <w:rPr>
          <w:color w:val="000000"/>
          <w:kern w:val="28"/>
          <w:sz w:val="28"/>
          <w:szCs w:val="28"/>
        </w:rPr>
      </w:pPr>
      <w:hyperlink r:id="rId10" w:history="1">
        <w:r w:rsidR="00316B61" w:rsidRPr="00057783">
          <w:rPr>
            <w:rStyle w:val="ad"/>
            <w:kern w:val="28"/>
            <w:sz w:val="28"/>
            <w:szCs w:val="28"/>
            <w:lang w:val="en-US"/>
          </w:rPr>
          <w:t>http:</w:t>
        </w:r>
        <w:r w:rsidR="00316B61" w:rsidRPr="00057783">
          <w:rPr>
            <w:rStyle w:val="ad"/>
            <w:kern w:val="28"/>
            <w:sz w:val="28"/>
            <w:szCs w:val="28"/>
          </w:rPr>
          <w:t>//</w:t>
        </w:r>
        <w:r w:rsidR="00316B61" w:rsidRPr="00057783">
          <w:rPr>
            <w:rStyle w:val="ad"/>
            <w:kern w:val="28"/>
            <w:sz w:val="28"/>
            <w:szCs w:val="28"/>
            <w:lang w:val="en-US"/>
          </w:rPr>
          <w:t>www.gks.ru</w:t>
        </w:r>
      </w:hyperlink>
    </w:p>
    <w:p w:rsidR="00316B61" w:rsidRPr="00467C40" w:rsidRDefault="00425EC5" w:rsidP="00467C40">
      <w:pPr>
        <w:numPr>
          <w:ilvl w:val="0"/>
          <w:numId w:val="8"/>
        </w:numPr>
        <w:suppressAutoHyphens/>
        <w:overflowPunct/>
        <w:autoSpaceDE/>
        <w:autoSpaceDN/>
        <w:adjustRightInd/>
        <w:ind w:left="0" w:firstLine="0"/>
        <w:textAlignment w:val="auto"/>
        <w:rPr>
          <w:color w:val="000000"/>
          <w:kern w:val="28"/>
          <w:sz w:val="28"/>
          <w:szCs w:val="28"/>
          <w:u w:val="single"/>
        </w:rPr>
      </w:pPr>
      <w:hyperlink r:id="rId11" w:history="1">
        <w:r w:rsidR="00316B61" w:rsidRPr="001D66F6">
          <w:rPr>
            <w:rStyle w:val="ad"/>
            <w:kern w:val="28"/>
            <w:sz w:val="28"/>
            <w:szCs w:val="28"/>
            <w:lang w:val="en-US"/>
          </w:rPr>
          <w:t>http://www.tmn.ru</w:t>
        </w:r>
      </w:hyperlink>
    </w:p>
    <w:p w:rsidR="00316B61" w:rsidRPr="00423BBC" w:rsidRDefault="00316B61" w:rsidP="00423BBC">
      <w:pPr>
        <w:suppressAutoHyphens/>
        <w:overflowPunct/>
        <w:autoSpaceDE/>
        <w:autoSpaceDN/>
        <w:adjustRightInd/>
        <w:ind w:firstLine="0"/>
        <w:textAlignment w:val="auto"/>
        <w:rPr>
          <w:color w:val="000000"/>
          <w:kern w:val="28"/>
          <w:sz w:val="28"/>
          <w:szCs w:val="28"/>
          <w:u w:val="single"/>
          <w:lang w:val="ru-RU"/>
        </w:rPr>
      </w:pPr>
      <w:r w:rsidRPr="00423BBC">
        <w:rPr>
          <w:color w:val="000000"/>
          <w:kern w:val="28"/>
          <w:sz w:val="28"/>
          <w:szCs w:val="28"/>
          <w:lang w:val="ru-RU"/>
        </w:rPr>
        <w:t>7.</w:t>
      </w:r>
      <w:r w:rsidRPr="00423BBC">
        <w:rPr>
          <w:color w:val="000000"/>
          <w:kern w:val="28"/>
          <w:sz w:val="28"/>
          <w:szCs w:val="28"/>
        </w:rPr>
        <w:t xml:space="preserve">       </w:t>
      </w:r>
      <w:hyperlink r:id="rId12" w:history="1">
        <w:r w:rsidRPr="00423BBC">
          <w:rPr>
            <w:rStyle w:val="ad"/>
            <w:kern w:val="28"/>
            <w:sz w:val="28"/>
            <w:szCs w:val="28"/>
          </w:rPr>
          <w:t>http://tumstat.gks.ru/</w:t>
        </w:r>
      </w:hyperlink>
    </w:p>
    <w:p w:rsidR="00316B61" w:rsidRDefault="00316B61" w:rsidP="00423BBC">
      <w:pPr>
        <w:ind w:firstLine="0"/>
        <w:rPr>
          <w:sz w:val="28"/>
          <w:szCs w:val="28"/>
          <w:lang w:val="ru-RU"/>
        </w:rPr>
      </w:pPr>
      <w:r>
        <w:rPr>
          <w:sz w:val="28"/>
          <w:szCs w:val="28"/>
          <w:lang w:val="ru-RU"/>
        </w:rPr>
        <w:t xml:space="preserve">8.       </w:t>
      </w:r>
      <w:hyperlink r:id="rId13" w:history="1">
        <w:r w:rsidRPr="001D66F6">
          <w:rPr>
            <w:rStyle w:val="ad"/>
            <w:sz w:val="28"/>
            <w:szCs w:val="28"/>
            <w:lang w:val="ru-RU"/>
          </w:rPr>
          <w:t>http://www.rosinvest.com/</w:t>
        </w:r>
      </w:hyperlink>
    </w:p>
    <w:p w:rsidR="00316B61" w:rsidRPr="00423BBC" w:rsidRDefault="00316B61" w:rsidP="00423BBC">
      <w:pPr>
        <w:ind w:firstLine="0"/>
        <w:rPr>
          <w:sz w:val="28"/>
          <w:szCs w:val="28"/>
          <w:lang w:val="ru-RU"/>
        </w:rPr>
      </w:pPr>
    </w:p>
    <w:p w:rsidR="00316B61" w:rsidRPr="00423BBC" w:rsidRDefault="00316B61" w:rsidP="00467C40">
      <w:pPr>
        <w:suppressAutoHyphens/>
        <w:overflowPunct/>
        <w:autoSpaceDE/>
        <w:autoSpaceDN/>
        <w:adjustRightInd/>
        <w:ind w:firstLine="0"/>
        <w:textAlignment w:val="auto"/>
        <w:rPr>
          <w:color w:val="000000"/>
          <w:kern w:val="28"/>
          <w:sz w:val="28"/>
          <w:szCs w:val="28"/>
          <w:u w:val="single"/>
          <w:lang w:val="ru-RU"/>
        </w:rPr>
      </w:pPr>
    </w:p>
    <w:p w:rsidR="00316B61" w:rsidRPr="006E03AA" w:rsidRDefault="00316B61" w:rsidP="002429A7">
      <w:pPr>
        <w:widowControl w:val="0"/>
        <w:shd w:val="clear" w:color="auto" w:fill="FFFFFF"/>
        <w:tabs>
          <w:tab w:val="left" w:pos="993"/>
        </w:tabs>
        <w:ind w:firstLine="0"/>
        <w:rPr>
          <w:sz w:val="28"/>
          <w:szCs w:val="28"/>
          <w:lang w:val="ru-RU"/>
        </w:rPr>
      </w:pPr>
      <w:r>
        <w:rPr>
          <w:sz w:val="28"/>
          <w:szCs w:val="28"/>
          <w:lang w:val="ru-RU"/>
        </w:rPr>
        <w:t xml:space="preserve"> </w:t>
      </w:r>
      <w:bookmarkStart w:id="1" w:name="_GoBack"/>
      <w:bookmarkEnd w:id="1"/>
    </w:p>
    <w:sectPr w:rsidR="00316B61" w:rsidRPr="006E03AA" w:rsidSect="001C3840">
      <w:footerReference w:type="default" r:id="rId14"/>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B61" w:rsidRDefault="00316B61" w:rsidP="001C3840">
      <w:pPr>
        <w:spacing w:line="240" w:lineRule="auto"/>
      </w:pPr>
      <w:r>
        <w:separator/>
      </w:r>
    </w:p>
  </w:endnote>
  <w:endnote w:type="continuationSeparator" w:id="0">
    <w:p w:rsidR="00316B61" w:rsidRDefault="00316B61" w:rsidP="001C3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B61" w:rsidRDefault="00316B61">
    <w:pPr>
      <w:pStyle w:val="aa"/>
      <w:jc w:val="center"/>
    </w:pPr>
    <w:r>
      <w:fldChar w:fldCharType="begin"/>
    </w:r>
    <w:r>
      <w:instrText>PAGE   \* MERGEFORMAT</w:instrText>
    </w:r>
    <w:r>
      <w:fldChar w:fldCharType="separate"/>
    </w:r>
    <w:r w:rsidR="00EE389A">
      <w:rPr>
        <w:noProof/>
      </w:rPr>
      <w:t>2</w:t>
    </w:r>
    <w:r>
      <w:fldChar w:fldCharType="end"/>
    </w:r>
  </w:p>
  <w:p w:rsidR="00316B61" w:rsidRPr="001C3840" w:rsidRDefault="00316B61" w:rsidP="001C384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B61" w:rsidRDefault="00316B61" w:rsidP="001C3840">
      <w:pPr>
        <w:spacing w:line="240" w:lineRule="auto"/>
      </w:pPr>
      <w:r>
        <w:separator/>
      </w:r>
    </w:p>
  </w:footnote>
  <w:footnote w:type="continuationSeparator" w:id="0">
    <w:p w:rsidR="00316B61" w:rsidRDefault="00316B61" w:rsidP="001C384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A372A"/>
    <w:multiLevelType w:val="hybridMultilevel"/>
    <w:tmpl w:val="2BDE5820"/>
    <w:lvl w:ilvl="0" w:tplc="B78615C8">
      <w:start w:val="1"/>
      <w:numFmt w:val="bullet"/>
      <w:lvlText w:val=""/>
      <w:lvlJc w:val="left"/>
      <w:pPr>
        <w:tabs>
          <w:tab w:val="num" w:pos="2444"/>
        </w:tabs>
        <w:ind w:left="2444" w:hanging="360"/>
      </w:pPr>
      <w:rPr>
        <w:rFonts w:ascii="Symbol" w:hAnsi="Symbol" w:hint="default"/>
      </w:rPr>
    </w:lvl>
    <w:lvl w:ilvl="1" w:tplc="B78615C8">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3022"/>
        </w:tabs>
        <w:ind w:left="3022" w:hanging="360"/>
      </w:pPr>
      <w:rPr>
        <w:rFonts w:ascii="Wingdings" w:hAnsi="Wingdings" w:hint="default"/>
      </w:rPr>
    </w:lvl>
    <w:lvl w:ilvl="3" w:tplc="04190001" w:tentative="1">
      <w:start w:val="1"/>
      <w:numFmt w:val="bullet"/>
      <w:lvlText w:val=""/>
      <w:lvlJc w:val="left"/>
      <w:pPr>
        <w:tabs>
          <w:tab w:val="num" w:pos="3742"/>
        </w:tabs>
        <w:ind w:left="3742" w:hanging="360"/>
      </w:pPr>
      <w:rPr>
        <w:rFonts w:ascii="Symbol" w:hAnsi="Symbol" w:hint="default"/>
      </w:rPr>
    </w:lvl>
    <w:lvl w:ilvl="4" w:tplc="04190003" w:tentative="1">
      <w:start w:val="1"/>
      <w:numFmt w:val="bullet"/>
      <w:lvlText w:val="o"/>
      <w:lvlJc w:val="left"/>
      <w:pPr>
        <w:tabs>
          <w:tab w:val="num" w:pos="4462"/>
        </w:tabs>
        <w:ind w:left="4462" w:hanging="360"/>
      </w:pPr>
      <w:rPr>
        <w:rFonts w:ascii="Courier New" w:hAnsi="Courier New" w:hint="default"/>
      </w:rPr>
    </w:lvl>
    <w:lvl w:ilvl="5" w:tplc="04190005" w:tentative="1">
      <w:start w:val="1"/>
      <w:numFmt w:val="bullet"/>
      <w:lvlText w:val=""/>
      <w:lvlJc w:val="left"/>
      <w:pPr>
        <w:tabs>
          <w:tab w:val="num" w:pos="5182"/>
        </w:tabs>
        <w:ind w:left="5182" w:hanging="360"/>
      </w:pPr>
      <w:rPr>
        <w:rFonts w:ascii="Wingdings" w:hAnsi="Wingdings" w:hint="default"/>
      </w:rPr>
    </w:lvl>
    <w:lvl w:ilvl="6" w:tplc="04190001" w:tentative="1">
      <w:start w:val="1"/>
      <w:numFmt w:val="bullet"/>
      <w:lvlText w:val=""/>
      <w:lvlJc w:val="left"/>
      <w:pPr>
        <w:tabs>
          <w:tab w:val="num" w:pos="5902"/>
        </w:tabs>
        <w:ind w:left="5902" w:hanging="360"/>
      </w:pPr>
      <w:rPr>
        <w:rFonts w:ascii="Symbol" w:hAnsi="Symbol" w:hint="default"/>
      </w:rPr>
    </w:lvl>
    <w:lvl w:ilvl="7" w:tplc="04190003" w:tentative="1">
      <w:start w:val="1"/>
      <w:numFmt w:val="bullet"/>
      <w:lvlText w:val="o"/>
      <w:lvlJc w:val="left"/>
      <w:pPr>
        <w:tabs>
          <w:tab w:val="num" w:pos="6622"/>
        </w:tabs>
        <w:ind w:left="6622" w:hanging="360"/>
      </w:pPr>
      <w:rPr>
        <w:rFonts w:ascii="Courier New" w:hAnsi="Courier New" w:hint="default"/>
      </w:rPr>
    </w:lvl>
    <w:lvl w:ilvl="8" w:tplc="04190005" w:tentative="1">
      <w:start w:val="1"/>
      <w:numFmt w:val="bullet"/>
      <w:lvlText w:val=""/>
      <w:lvlJc w:val="left"/>
      <w:pPr>
        <w:tabs>
          <w:tab w:val="num" w:pos="7342"/>
        </w:tabs>
        <w:ind w:left="7342" w:hanging="360"/>
      </w:pPr>
      <w:rPr>
        <w:rFonts w:ascii="Wingdings" w:hAnsi="Wingdings" w:hint="default"/>
      </w:rPr>
    </w:lvl>
  </w:abstractNum>
  <w:abstractNum w:abstractNumId="1">
    <w:nsid w:val="06C85882"/>
    <w:multiLevelType w:val="multilevel"/>
    <w:tmpl w:val="792617FE"/>
    <w:lvl w:ilvl="0">
      <w:start w:val="1"/>
      <w:numFmt w:val="decimal"/>
      <w:lvlText w:val="%1"/>
      <w:lvlJc w:val="left"/>
      <w:pPr>
        <w:ind w:left="450" w:hanging="450"/>
      </w:pPr>
      <w:rPr>
        <w:rFonts w:cs="Times New Roman" w:hint="default"/>
      </w:rPr>
    </w:lvl>
    <w:lvl w:ilvl="1">
      <w:start w:val="1"/>
      <w:numFmt w:val="decimal"/>
      <w:lvlText w:val="%1.%2"/>
      <w:lvlJc w:val="left"/>
      <w:pPr>
        <w:ind w:left="1050" w:hanging="45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880" w:hanging="108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440" w:hanging="144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6000" w:hanging="1800"/>
      </w:pPr>
      <w:rPr>
        <w:rFonts w:cs="Times New Roman" w:hint="default"/>
      </w:rPr>
    </w:lvl>
    <w:lvl w:ilvl="8">
      <w:start w:val="1"/>
      <w:numFmt w:val="decimal"/>
      <w:lvlText w:val="%1.%2.%3.%4.%5.%6.%7.%8.%9"/>
      <w:lvlJc w:val="left"/>
      <w:pPr>
        <w:ind w:left="6960" w:hanging="2160"/>
      </w:pPr>
      <w:rPr>
        <w:rFonts w:cs="Times New Roman" w:hint="default"/>
      </w:rPr>
    </w:lvl>
  </w:abstractNum>
  <w:abstractNum w:abstractNumId="2">
    <w:nsid w:val="0E5F155C"/>
    <w:multiLevelType w:val="hybridMultilevel"/>
    <w:tmpl w:val="8244DEF6"/>
    <w:lvl w:ilvl="0" w:tplc="19E4B520">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A4723BA"/>
    <w:multiLevelType w:val="multilevel"/>
    <w:tmpl w:val="D19E485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740"/>
        </w:tabs>
        <w:ind w:left="1740" w:hanging="720"/>
      </w:pPr>
      <w:rPr>
        <w:rFonts w:cs="Times New Roman" w:hint="default"/>
      </w:rPr>
    </w:lvl>
    <w:lvl w:ilvl="3">
      <w:start w:val="1"/>
      <w:numFmt w:val="decimal"/>
      <w:lvlText w:val="%1.%2.%3.%4"/>
      <w:lvlJc w:val="left"/>
      <w:pPr>
        <w:tabs>
          <w:tab w:val="num" w:pos="2610"/>
        </w:tabs>
        <w:ind w:left="2610" w:hanging="1080"/>
      </w:pPr>
      <w:rPr>
        <w:rFonts w:cs="Times New Roman" w:hint="default"/>
      </w:rPr>
    </w:lvl>
    <w:lvl w:ilvl="4">
      <w:start w:val="1"/>
      <w:numFmt w:val="decimal"/>
      <w:lvlText w:val="%1.%2.%3.%4.%5"/>
      <w:lvlJc w:val="left"/>
      <w:pPr>
        <w:tabs>
          <w:tab w:val="num" w:pos="3120"/>
        </w:tabs>
        <w:ind w:left="3120" w:hanging="1080"/>
      </w:pPr>
      <w:rPr>
        <w:rFonts w:cs="Times New Roman" w:hint="default"/>
      </w:rPr>
    </w:lvl>
    <w:lvl w:ilvl="5">
      <w:start w:val="1"/>
      <w:numFmt w:val="decimal"/>
      <w:lvlText w:val="%1.%2.%3.%4.%5.%6"/>
      <w:lvlJc w:val="left"/>
      <w:pPr>
        <w:tabs>
          <w:tab w:val="num" w:pos="3990"/>
        </w:tabs>
        <w:ind w:left="3990" w:hanging="1440"/>
      </w:pPr>
      <w:rPr>
        <w:rFonts w:cs="Times New Roman" w:hint="default"/>
      </w:rPr>
    </w:lvl>
    <w:lvl w:ilvl="6">
      <w:start w:val="1"/>
      <w:numFmt w:val="decimal"/>
      <w:lvlText w:val="%1.%2.%3.%4.%5.%6.%7"/>
      <w:lvlJc w:val="left"/>
      <w:pPr>
        <w:tabs>
          <w:tab w:val="num" w:pos="4500"/>
        </w:tabs>
        <w:ind w:left="4500" w:hanging="1440"/>
      </w:pPr>
      <w:rPr>
        <w:rFonts w:cs="Times New Roman" w:hint="default"/>
      </w:rPr>
    </w:lvl>
    <w:lvl w:ilvl="7">
      <w:start w:val="1"/>
      <w:numFmt w:val="decimal"/>
      <w:lvlText w:val="%1.%2.%3.%4.%5.%6.%7.%8"/>
      <w:lvlJc w:val="left"/>
      <w:pPr>
        <w:tabs>
          <w:tab w:val="num" w:pos="5370"/>
        </w:tabs>
        <w:ind w:left="5370" w:hanging="1800"/>
      </w:pPr>
      <w:rPr>
        <w:rFonts w:cs="Times New Roman" w:hint="default"/>
      </w:rPr>
    </w:lvl>
    <w:lvl w:ilvl="8">
      <w:start w:val="1"/>
      <w:numFmt w:val="decimal"/>
      <w:lvlText w:val="%1.%2.%3.%4.%5.%6.%7.%8.%9"/>
      <w:lvlJc w:val="left"/>
      <w:pPr>
        <w:tabs>
          <w:tab w:val="num" w:pos="6240"/>
        </w:tabs>
        <w:ind w:left="6240" w:hanging="2160"/>
      </w:pPr>
      <w:rPr>
        <w:rFonts w:cs="Times New Roman" w:hint="default"/>
      </w:rPr>
    </w:lvl>
  </w:abstractNum>
  <w:abstractNum w:abstractNumId="4">
    <w:nsid w:val="3EA9249A"/>
    <w:multiLevelType w:val="multilevel"/>
    <w:tmpl w:val="9E34D050"/>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48472089"/>
    <w:multiLevelType w:val="hybridMultilevel"/>
    <w:tmpl w:val="D3DAE876"/>
    <w:lvl w:ilvl="0" w:tplc="CE2C2660">
      <w:start w:val="1"/>
      <w:numFmt w:val="bullet"/>
      <w:lvlText w:val=""/>
      <w:lvlJc w:val="left"/>
      <w:pPr>
        <w:tabs>
          <w:tab w:val="num" w:pos="2495"/>
        </w:tabs>
        <w:ind w:left="242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
    <w:nsid w:val="4BA36D90"/>
    <w:multiLevelType w:val="hybridMultilevel"/>
    <w:tmpl w:val="E54EA1AE"/>
    <w:lvl w:ilvl="0" w:tplc="B78615C8">
      <w:start w:val="1"/>
      <w:numFmt w:val="bullet"/>
      <w:lvlText w:val=""/>
      <w:lvlJc w:val="left"/>
      <w:pPr>
        <w:tabs>
          <w:tab w:val="num" w:pos="2444"/>
        </w:tabs>
        <w:ind w:left="2444" w:hanging="360"/>
      </w:pPr>
      <w:rPr>
        <w:rFonts w:ascii="Symbol" w:hAnsi="Symbol" w:hint="default"/>
      </w:rPr>
    </w:lvl>
    <w:lvl w:ilvl="1" w:tplc="B78615C8">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3022"/>
        </w:tabs>
        <w:ind w:left="3022" w:hanging="360"/>
      </w:pPr>
      <w:rPr>
        <w:rFonts w:ascii="Wingdings" w:hAnsi="Wingdings" w:hint="default"/>
      </w:rPr>
    </w:lvl>
    <w:lvl w:ilvl="3" w:tplc="04190001" w:tentative="1">
      <w:start w:val="1"/>
      <w:numFmt w:val="bullet"/>
      <w:lvlText w:val=""/>
      <w:lvlJc w:val="left"/>
      <w:pPr>
        <w:tabs>
          <w:tab w:val="num" w:pos="3742"/>
        </w:tabs>
        <w:ind w:left="3742" w:hanging="360"/>
      </w:pPr>
      <w:rPr>
        <w:rFonts w:ascii="Symbol" w:hAnsi="Symbol" w:hint="default"/>
      </w:rPr>
    </w:lvl>
    <w:lvl w:ilvl="4" w:tplc="04190003" w:tentative="1">
      <w:start w:val="1"/>
      <w:numFmt w:val="bullet"/>
      <w:lvlText w:val="o"/>
      <w:lvlJc w:val="left"/>
      <w:pPr>
        <w:tabs>
          <w:tab w:val="num" w:pos="4462"/>
        </w:tabs>
        <w:ind w:left="4462" w:hanging="360"/>
      </w:pPr>
      <w:rPr>
        <w:rFonts w:ascii="Courier New" w:hAnsi="Courier New" w:hint="default"/>
      </w:rPr>
    </w:lvl>
    <w:lvl w:ilvl="5" w:tplc="04190005" w:tentative="1">
      <w:start w:val="1"/>
      <w:numFmt w:val="bullet"/>
      <w:lvlText w:val=""/>
      <w:lvlJc w:val="left"/>
      <w:pPr>
        <w:tabs>
          <w:tab w:val="num" w:pos="5182"/>
        </w:tabs>
        <w:ind w:left="5182" w:hanging="360"/>
      </w:pPr>
      <w:rPr>
        <w:rFonts w:ascii="Wingdings" w:hAnsi="Wingdings" w:hint="default"/>
      </w:rPr>
    </w:lvl>
    <w:lvl w:ilvl="6" w:tplc="04190001" w:tentative="1">
      <w:start w:val="1"/>
      <w:numFmt w:val="bullet"/>
      <w:lvlText w:val=""/>
      <w:lvlJc w:val="left"/>
      <w:pPr>
        <w:tabs>
          <w:tab w:val="num" w:pos="5902"/>
        </w:tabs>
        <w:ind w:left="5902" w:hanging="360"/>
      </w:pPr>
      <w:rPr>
        <w:rFonts w:ascii="Symbol" w:hAnsi="Symbol" w:hint="default"/>
      </w:rPr>
    </w:lvl>
    <w:lvl w:ilvl="7" w:tplc="04190003" w:tentative="1">
      <w:start w:val="1"/>
      <w:numFmt w:val="bullet"/>
      <w:lvlText w:val="o"/>
      <w:lvlJc w:val="left"/>
      <w:pPr>
        <w:tabs>
          <w:tab w:val="num" w:pos="6622"/>
        </w:tabs>
        <w:ind w:left="6622" w:hanging="360"/>
      </w:pPr>
      <w:rPr>
        <w:rFonts w:ascii="Courier New" w:hAnsi="Courier New" w:hint="default"/>
      </w:rPr>
    </w:lvl>
    <w:lvl w:ilvl="8" w:tplc="04190005" w:tentative="1">
      <w:start w:val="1"/>
      <w:numFmt w:val="bullet"/>
      <w:lvlText w:val=""/>
      <w:lvlJc w:val="left"/>
      <w:pPr>
        <w:tabs>
          <w:tab w:val="num" w:pos="7342"/>
        </w:tabs>
        <w:ind w:left="7342" w:hanging="360"/>
      </w:pPr>
      <w:rPr>
        <w:rFonts w:ascii="Wingdings" w:hAnsi="Wingdings" w:hint="default"/>
      </w:rPr>
    </w:lvl>
  </w:abstractNum>
  <w:abstractNum w:abstractNumId="7">
    <w:nsid w:val="5D5416E3"/>
    <w:multiLevelType w:val="hybridMultilevel"/>
    <w:tmpl w:val="796A46A4"/>
    <w:lvl w:ilvl="0" w:tplc="B78615C8">
      <w:start w:val="1"/>
      <w:numFmt w:val="bullet"/>
      <w:lvlText w:val=""/>
      <w:lvlJc w:val="left"/>
      <w:pPr>
        <w:tabs>
          <w:tab w:val="num" w:pos="1582"/>
        </w:tabs>
        <w:ind w:left="1582" w:hanging="360"/>
      </w:pPr>
      <w:rPr>
        <w:rFonts w:ascii="Symbol" w:hAnsi="Symbol" w:hint="default"/>
      </w:rPr>
    </w:lvl>
    <w:lvl w:ilvl="1" w:tplc="B78615C8">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7"/>
  </w:num>
  <w:num w:numId="4">
    <w:abstractNumId w:val="6"/>
  </w:num>
  <w:num w:numId="5">
    <w:abstractNumId w:val="0"/>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BD5"/>
    <w:rsid w:val="00057783"/>
    <w:rsid w:val="000767E8"/>
    <w:rsid w:val="00115A2A"/>
    <w:rsid w:val="001C3840"/>
    <w:rsid w:val="001D66F6"/>
    <w:rsid w:val="002429A7"/>
    <w:rsid w:val="002E0A8E"/>
    <w:rsid w:val="00316B61"/>
    <w:rsid w:val="003B5B3B"/>
    <w:rsid w:val="003F2A6A"/>
    <w:rsid w:val="00423BBC"/>
    <w:rsid w:val="00425EC5"/>
    <w:rsid w:val="00467C40"/>
    <w:rsid w:val="00534749"/>
    <w:rsid w:val="006E03AA"/>
    <w:rsid w:val="00701503"/>
    <w:rsid w:val="007314B7"/>
    <w:rsid w:val="00791FBF"/>
    <w:rsid w:val="007E0C47"/>
    <w:rsid w:val="008B1FC6"/>
    <w:rsid w:val="008E1C3C"/>
    <w:rsid w:val="00AA35FE"/>
    <w:rsid w:val="00AC0BD5"/>
    <w:rsid w:val="00B55EA6"/>
    <w:rsid w:val="00BA732D"/>
    <w:rsid w:val="00EE389A"/>
    <w:rsid w:val="00EE3CCE"/>
    <w:rsid w:val="00FB2FC0"/>
    <w:rsid w:val="00FC5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1FB47AC-518D-45C6-8D74-E9DB9FEC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ody Text 2" w:locked="1"/>
    <w:lsdException w:name="Body Text Indent 2" w:locked="1"/>
    <w:lsdException w:name="Body Text Indent 3"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A7"/>
    <w:pPr>
      <w:overflowPunct w:val="0"/>
      <w:autoSpaceDE w:val="0"/>
      <w:autoSpaceDN w:val="0"/>
      <w:adjustRightInd w:val="0"/>
      <w:spacing w:line="360" w:lineRule="auto"/>
      <w:ind w:firstLine="720"/>
      <w:jc w:val="both"/>
      <w:textAlignment w:val="baseline"/>
    </w:pPr>
    <w:rPr>
      <w:rFonts w:ascii="Times New Roman" w:hAnsi="Times New Roman"/>
      <w:sz w:val="24"/>
      <w:szCs w:val="24"/>
      <w:lang w:val="en-GB"/>
    </w:rPr>
  </w:style>
  <w:style w:type="paragraph" w:styleId="1">
    <w:name w:val="heading 1"/>
    <w:basedOn w:val="a"/>
    <w:link w:val="10"/>
    <w:qFormat/>
    <w:rsid w:val="002E0A8E"/>
    <w:pPr>
      <w:overflowPunct/>
      <w:autoSpaceDE/>
      <w:autoSpaceDN/>
      <w:adjustRightInd/>
      <w:spacing w:before="100" w:beforeAutospacing="1" w:after="100" w:afterAutospacing="1" w:line="240" w:lineRule="auto"/>
      <w:ind w:firstLine="0"/>
      <w:jc w:val="left"/>
      <w:textAlignment w:val="auto"/>
      <w:outlineLvl w:val="0"/>
    </w:pPr>
    <w:rPr>
      <w:b/>
      <w:bCs/>
      <w:kern w:val="36"/>
      <w:sz w:val="48"/>
      <w:szCs w:val="48"/>
      <w:lang w:val="ru-RU"/>
    </w:rPr>
  </w:style>
  <w:style w:type="paragraph" w:styleId="2">
    <w:name w:val="heading 2"/>
    <w:basedOn w:val="a"/>
    <w:link w:val="20"/>
    <w:qFormat/>
    <w:rsid w:val="002E0A8E"/>
    <w:pPr>
      <w:overflowPunct/>
      <w:autoSpaceDE/>
      <w:autoSpaceDN/>
      <w:adjustRightInd/>
      <w:spacing w:before="100" w:beforeAutospacing="1" w:after="100" w:afterAutospacing="1" w:line="240" w:lineRule="auto"/>
      <w:ind w:firstLine="0"/>
      <w:jc w:val="left"/>
      <w:textAlignment w:val="auto"/>
      <w:outlineLvl w:val="1"/>
    </w:pPr>
    <w:rPr>
      <w:b/>
      <w:bCs/>
      <w:sz w:val="36"/>
      <w:szCs w:val="36"/>
      <w:lang w:val="ru-RU"/>
    </w:rPr>
  </w:style>
  <w:style w:type="paragraph" w:styleId="3">
    <w:name w:val="heading 3"/>
    <w:basedOn w:val="a"/>
    <w:next w:val="a"/>
    <w:link w:val="30"/>
    <w:qFormat/>
    <w:rsid w:val="002E0A8E"/>
    <w:pPr>
      <w:keepNext/>
      <w:overflowPunct/>
      <w:autoSpaceDE/>
      <w:autoSpaceDN/>
      <w:adjustRightInd/>
      <w:spacing w:after="720" w:line="360" w:lineRule="exact"/>
      <w:ind w:firstLine="0"/>
      <w:jc w:val="center"/>
      <w:textAlignment w:val="auto"/>
      <w:outlineLvl w:val="2"/>
    </w:pPr>
    <w:rPr>
      <w:b/>
      <w:sz w:val="28"/>
      <w:szCs w:val="28"/>
      <w:lang w:val="ru-RU"/>
    </w:rPr>
  </w:style>
  <w:style w:type="paragraph" w:styleId="4">
    <w:name w:val="heading 4"/>
    <w:basedOn w:val="a"/>
    <w:next w:val="a"/>
    <w:link w:val="40"/>
    <w:qFormat/>
    <w:rsid w:val="002E0A8E"/>
    <w:pPr>
      <w:keepNext/>
      <w:shd w:val="clear" w:color="auto" w:fill="FFFFFF"/>
      <w:overflowPunct/>
      <w:autoSpaceDE/>
      <w:autoSpaceDN/>
      <w:adjustRightInd/>
      <w:spacing w:after="720" w:line="360" w:lineRule="exact"/>
      <w:ind w:firstLine="0"/>
      <w:jc w:val="center"/>
      <w:textAlignment w:val="auto"/>
      <w:outlineLvl w:val="3"/>
    </w:pPr>
    <w:rPr>
      <w:b/>
      <w:sz w:val="28"/>
      <w:szCs w:val="28"/>
      <w:lang w:val="ru-RU"/>
    </w:rPr>
  </w:style>
  <w:style w:type="paragraph" w:styleId="5">
    <w:name w:val="heading 5"/>
    <w:basedOn w:val="a"/>
    <w:link w:val="50"/>
    <w:qFormat/>
    <w:rsid w:val="002E0A8E"/>
    <w:pPr>
      <w:overflowPunct/>
      <w:autoSpaceDE/>
      <w:autoSpaceDN/>
      <w:adjustRightInd/>
      <w:spacing w:before="100" w:beforeAutospacing="1" w:after="100" w:afterAutospacing="1" w:line="240" w:lineRule="auto"/>
      <w:ind w:firstLine="0"/>
      <w:jc w:val="left"/>
      <w:textAlignment w:val="auto"/>
      <w:outlineLvl w:val="4"/>
    </w:pPr>
    <w:rPr>
      <w:b/>
      <w:bCs/>
      <w:sz w:val="20"/>
      <w:szCs w:val="20"/>
      <w:lang w:val="ru-RU"/>
    </w:rPr>
  </w:style>
  <w:style w:type="paragraph" w:styleId="6">
    <w:name w:val="heading 6"/>
    <w:basedOn w:val="a"/>
    <w:next w:val="a"/>
    <w:link w:val="60"/>
    <w:qFormat/>
    <w:rsid w:val="002429A7"/>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locked/>
    <w:rsid w:val="002429A7"/>
    <w:rPr>
      <w:rFonts w:ascii="Calibri" w:hAnsi="Calibri" w:cs="Times New Roman"/>
      <w:b/>
      <w:bCs/>
      <w:lang w:val="en-GB" w:eastAsia="ru-RU"/>
    </w:rPr>
  </w:style>
  <w:style w:type="paragraph" w:styleId="21">
    <w:name w:val="Body Text 2"/>
    <w:basedOn w:val="a"/>
    <w:link w:val="22"/>
    <w:rsid w:val="002429A7"/>
    <w:pPr>
      <w:overflowPunct/>
      <w:autoSpaceDE/>
      <w:autoSpaceDN/>
      <w:adjustRightInd/>
      <w:ind w:firstLine="567"/>
      <w:textAlignment w:val="auto"/>
    </w:pPr>
    <w:rPr>
      <w:sz w:val="32"/>
      <w:szCs w:val="32"/>
      <w:lang w:val="ru-RU"/>
    </w:rPr>
  </w:style>
  <w:style w:type="character" w:customStyle="1" w:styleId="22">
    <w:name w:val="Основной текст 2 Знак"/>
    <w:basedOn w:val="a0"/>
    <w:link w:val="21"/>
    <w:locked/>
    <w:rsid w:val="002429A7"/>
    <w:rPr>
      <w:rFonts w:ascii="Times New Roman" w:hAnsi="Times New Roman" w:cs="Times New Roman"/>
      <w:sz w:val="32"/>
      <w:szCs w:val="32"/>
      <w:lang w:val="x-none" w:eastAsia="ru-RU"/>
    </w:rPr>
  </w:style>
  <w:style w:type="paragraph" w:styleId="23">
    <w:name w:val="Body Text Indent 2"/>
    <w:basedOn w:val="a"/>
    <w:link w:val="24"/>
    <w:semiHidden/>
    <w:rsid w:val="002429A7"/>
    <w:pPr>
      <w:spacing w:after="120" w:line="480" w:lineRule="auto"/>
      <w:ind w:left="283"/>
    </w:pPr>
  </w:style>
  <w:style w:type="character" w:customStyle="1" w:styleId="24">
    <w:name w:val="Основной текст с отступом 2 Знак"/>
    <w:basedOn w:val="a0"/>
    <w:link w:val="23"/>
    <w:semiHidden/>
    <w:locked/>
    <w:rsid w:val="002429A7"/>
    <w:rPr>
      <w:rFonts w:ascii="Times New Roman" w:hAnsi="Times New Roman" w:cs="Times New Roman"/>
      <w:sz w:val="24"/>
      <w:szCs w:val="24"/>
      <w:lang w:val="en-GB" w:eastAsia="ru-RU"/>
    </w:rPr>
  </w:style>
  <w:style w:type="paragraph" w:styleId="a3">
    <w:name w:val="Title"/>
    <w:basedOn w:val="a"/>
    <w:link w:val="a4"/>
    <w:qFormat/>
    <w:rsid w:val="002429A7"/>
    <w:pPr>
      <w:overflowPunct/>
      <w:autoSpaceDE/>
      <w:autoSpaceDN/>
      <w:adjustRightInd/>
      <w:spacing w:line="240" w:lineRule="auto"/>
      <w:ind w:firstLine="0"/>
      <w:jc w:val="center"/>
      <w:textAlignment w:val="auto"/>
    </w:pPr>
    <w:rPr>
      <w:b/>
      <w:sz w:val="32"/>
      <w:szCs w:val="20"/>
      <w:lang w:val="ru-RU"/>
    </w:rPr>
  </w:style>
  <w:style w:type="character" w:customStyle="1" w:styleId="a4">
    <w:name w:val="Название Знак"/>
    <w:basedOn w:val="a0"/>
    <w:link w:val="a3"/>
    <w:locked/>
    <w:rsid w:val="002429A7"/>
    <w:rPr>
      <w:rFonts w:ascii="Times New Roman" w:hAnsi="Times New Roman" w:cs="Times New Roman"/>
      <w:b/>
      <w:sz w:val="20"/>
      <w:szCs w:val="20"/>
      <w:lang w:val="x-none" w:eastAsia="ru-RU"/>
    </w:rPr>
  </w:style>
  <w:style w:type="paragraph" w:styleId="a5">
    <w:name w:val="Subtitle"/>
    <w:basedOn w:val="a"/>
    <w:link w:val="a6"/>
    <w:qFormat/>
    <w:rsid w:val="002429A7"/>
    <w:pPr>
      <w:overflowPunct/>
      <w:autoSpaceDE/>
      <w:autoSpaceDN/>
      <w:adjustRightInd/>
      <w:jc w:val="center"/>
      <w:textAlignment w:val="auto"/>
    </w:pPr>
    <w:rPr>
      <w:b/>
      <w:sz w:val="28"/>
      <w:szCs w:val="20"/>
      <w:lang w:val="ru-RU"/>
    </w:rPr>
  </w:style>
  <w:style w:type="character" w:customStyle="1" w:styleId="a6">
    <w:name w:val="Подзаголовок Знак"/>
    <w:basedOn w:val="a0"/>
    <w:link w:val="a5"/>
    <w:locked/>
    <w:rsid w:val="002429A7"/>
    <w:rPr>
      <w:rFonts w:ascii="Times New Roman" w:hAnsi="Times New Roman" w:cs="Times New Roman"/>
      <w:b/>
      <w:sz w:val="20"/>
      <w:szCs w:val="20"/>
      <w:lang w:val="x-none" w:eastAsia="ru-RU"/>
    </w:rPr>
  </w:style>
  <w:style w:type="paragraph" w:customStyle="1" w:styleId="11">
    <w:name w:val="Абзац списка1"/>
    <w:basedOn w:val="a"/>
    <w:rsid w:val="002429A7"/>
    <w:pPr>
      <w:ind w:left="720"/>
      <w:contextualSpacing/>
    </w:pPr>
  </w:style>
  <w:style w:type="paragraph" w:styleId="a7">
    <w:name w:val="Body Text Indent"/>
    <w:basedOn w:val="a"/>
    <w:link w:val="a8"/>
    <w:semiHidden/>
    <w:rsid w:val="002E0A8E"/>
    <w:pPr>
      <w:spacing w:after="120"/>
      <w:ind w:left="283"/>
    </w:pPr>
  </w:style>
  <w:style w:type="character" w:customStyle="1" w:styleId="a8">
    <w:name w:val="Основной текст с отступом Знак"/>
    <w:basedOn w:val="a0"/>
    <w:link w:val="a7"/>
    <w:semiHidden/>
    <w:locked/>
    <w:rsid w:val="002E0A8E"/>
    <w:rPr>
      <w:rFonts w:ascii="Times New Roman" w:hAnsi="Times New Roman" w:cs="Times New Roman"/>
      <w:sz w:val="24"/>
      <w:szCs w:val="24"/>
      <w:lang w:val="en-GB" w:eastAsia="ru-RU"/>
    </w:rPr>
  </w:style>
  <w:style w:type="character" w:customStyle="1" w:styleId="10">
    <w:name w:val="Заголовок 1 Знак"/>
    <w:basedOn w:val="a0"/>
    <w:link w:val="1"/>
    <w:locked/>
    <w:rsid w:val="002E0A8E"/>
    <w:rPr>
      <w:rFonts w:ascii="Times New Roman" w:hAnsi="Times New Roman" w:cs="Times New Roman"/>
      <w:b/>
      <w:bCs/>
      <w:kern w:val="36"/>
      <w:sz w:val="48"/>
      <w:szCs w:val="48"/>
      <w:lang w:val="x-none" w:eastAsia="ru-RU"/>
    </w:rPr>
  </w:style>
  <w:style w:type="character" w:customStyle="1" w:styleId="20">
    <w:name w:val="Заголовок 2 Знак"/>
    <w:basedOn w:val="a0"/>
    <w:link w:val="2"/>
    <w:locked/>
    <w:rsid w:val="002E0A8E"/>
    <w:rPr>
      <w:rFonts w:ascii="Times New Roman" w:hAnsi="Times New Roman" w:cs="Times New Roman"/>
      <w:b/>
      <w:bCs/>
      <w:sz w:val="36"/>
      <w:szCs w:val="36"/>
      <w:lang w:val="x-none" w:eastAsia="ru-RU"/>
    </w:rPr>
  </w:style>
  <w:style w:type="character" w:customStyle="1" w:styleId="30">
    <w:name w:val="Заголовок 3 Знак"/>
    <w:basedOn w:val="a0"/>
    <w:link w:val="3"/>
    <w:locked/>
    <w:rsid w:val="002E0A8E"/>
    <w:rPr>
      <w:rFonts w:ascii="Times New Roman" w:hAnsi="Times New Roman" w:cs="Times New Roman"/>
      <w:b/>
      <w:sz w:val="28"/>
      <w:szCs w:val="28"/>
      <w:lang w:val="x-none" w:eastAsia="ru-RU"/>
    </w:rPr>
  </w:style>
  <w:style w:type="character" w:customStyle="1" w:styleId="40">
    <w:name w:val="Заголовок 4 Знак"/>
    <w:basedOn w:val="a0"/>
    <w:link w:val="4"/>
    <w:locked/>
    <w:rsid w:val="002E0A8E"/>
    <w:rPr>
      <w:rFonts w:ascii="Times New Roman" w:hAnsi="Times New Roman" w:cs="Times New Roman"/>
      <w:b/>
      <w:sz w:val="28"/>
      <w:szCs w:val="28"/>
      <w:shd w:val="clear" w:color="auto" w:fill="FFFFFF"/>
      <w:lang w:val="x-none" w:eastAsia="ru-RU"/>
    </w:rPr>
  </w:style>
  <w:style w:type="character" w:customStyle="1" w:styleId="50">
    <w:name w:val="Заголовок 5 Знак"/>
    <w:basedOn w:val="a0"/>
    <w:link w:val="5"/>
    <w:locked/>
    <w:rsid w:val="002E0A8E"/>
    <w:rPr>
      <w:rFonts w:ascii="Times New Roman" w:hAnsi="Times New Roman" w:cs="Times New Roman"/>
      <w:b/>
      <w:bCs/>
      <w:sz w:val="20"/>
      <w:szCs w:val="20"/>
      <w:lang w:val="x-none" w:eastAsia="ru-RU"/>
    </w:rPr>
  </w:style>
  <w:style w:type="paragraph" w:customStyle="1" w:styleId="12">
    <w:name w:val="Знак1"/>
    <w:basedOn w:val="a"/>
    <w:rsid w:val="002E0A8E"/>
    <w:pPr>
      <w:pageBreakBefore/>
      <w:overflowPunct/>
      <w:autoSpaceDE/>
      <w:autoSpaceDN/>
      <w:adjustRightInd/>
      <w:spacing w:after="160"/>
      <w:ind w:firstLine="0"/>
      <w:jc w:val="left"/>
      <w:textAlignment w:val="auto"/>
    </w:pPr>
    <w:rPr>
      <w:sz w:val="28"/>
      <w:szCs w:val="20"/>
      <w:lang w:val="en-US" w:eastAsia="en-US"/>
    </w:rPr>
  </w:style>
  <w:style w:type="character" w:styleId="a9">
    <w:name w:val="FollowedHyperlink"/>
    <w:basedOn w:val="a0"/>
    <w:semiHidden/>
    <w:rsid w:val="002E0A8E"/>
    <w:rPr>
      <w:rFonts w:cs="Times New Roman"/>
      <w:color w:val="800080"/>
      <w:u w:val="single"/>
    </w:rPr>
  </w:style>
  <w:style w:type="paragraph" w:styleId="aa">
    <w:name w:val="footer"/>
    <w:basedOn w:val="a"/>
    <w:link w:val="ab"/>
    <w:rsid w:val="002E0A8E"/>
    <w:pPr>
      <w:tabs>
        <w:tab w:val="center" w:pos="4677"/>
        <w:tab w:val="right" w:pos="9355"/>
      </w:tabs>
      <w:overflowPunct/>
      <w:autoSpaceDE/>
      <w:autoSpaceDN/>
      <w:adjustRightInd/>
      <w:spacing w:line="240" w:lineRule="auto"/>
      <w:ind w:firstLine="0"/>
      <w:jc w:val="left"/>
      <w:textAlignment w:val="auto"/>
    </w:pPr>
    <w:rPr>
      <w:lang w:val="ru-RU"/>
    </w:rPr>
  </w:style>
  <w:style w:type="character" w:customStyle="1" w:styleId="ab">
    <w:name w:val="Нижний колонтитул Знак"/>
    <w:basedOn w:val="a0"/>
    <w:link w:val="aa"/>
    <w:locked/>
    <w:rsid w:val="002E0A8E"/>
    <w:rPr>
      <w:rFonts w:ascii="Times New Roman" w:hAnsi="Times New Roman" w:cs="Times New Roman"/>
      <w:sz w:val="24"/>
      <w:szCs w:val="24"/>
      <w:lang w:val="x-none" w:eastAsia="ru-RU"/>
    </w:rPr>
  </w:style>
  <w:style w:type="character" w:styleId="ac">
    <w:name w:val="page number"/>
    <w:basedOn w:val="a0"/>
    <w:semiHidden/>
    <w:rsid w:val="002E0A8E"/>
    <w:rPr>
      <w:rFonts w:cs="Times New Roman"/>
    </w:rPr>
  </w:style>
  <w:style w:type="paragraph" w:customStyle="1" w:styleId="110">
    <w:name w:val="Знак11"/>
    <w:basedOn w:val="a"/>
    <w:rsid w:val="002E0A8E"/>
    <w:pPr>
      <w:pageBreakBefore/>
      <w:overflowPunct/>
      <w:autoSpaceDE/>
      <w:autoSpaceDN/>
      <w:adjustRightInd/>
      <w:spacing w:after="160"/>
      <w:ind w:firstLine="0"/>
      <w:jc w:val="left"/>
      <w:textAlignment w:val="auto"/>
    </w:pPr>
    <w:rPr>
      <w:sz w:val="28"/>
      <w:szCs w:val="20"/>
      <w:lang w:val="en-US" w:eastAsia="en-US"/>
    </w:rPr>
  </w:style>
  <w:style w:type="character" w:styleId="ad">
    <w:name w:val="Hyperlink"/>
    <w:basedOn w:val="a0"/>
    <w:rsid w:val="002E0A8E"/>
    <w:rPr>
      <w:rFonts w:cs="Times New Roman"/>
      <w:color w:val="0000FF"/>
      <w:u w:val="single"/>
    </w:rPr>
  </w:style>
  <w:style w:type="character" w:styleId="ae">
    <w:name w:val="Strong"/>
    <w:basedOn w:val="a0"/>
    <w:qFormat/>
    <w:rsid w:val="002E0A8E"/>
    <w:rPr>
      <w:rFonts w:cs="Times New Roman"/>
      <w:b/>
      <w:bCs/>
    </w:rPr>
  </w:style>
  <w:style w:type="character" w:customStyle="1" w:styleId="af">
    <w:name w:val="Знак Знак"/>
    <w:basedOn w:val="a0"/>
    <w:rsid w:val="002E0A8E"/>
    <w:rPr>
      <w:rFonts w:cs="Times New Roman"/>
      <w:b/>
      <w:bCs/>
      <w:kern w:val="36"/>
      <w:sz w:val="48"/>
      <w:szCs w:val="48"/>
      <w:lang w:val="ru-RU" w:eastAsia="ru-RU" w:bidi="ar-SA"/>
    </w:rPr>
  </w:style>
  <w:style w:type="paragraph" w:customStyle="1" w:styleId="documentdescription">
    <w:name w:val="documentdescription"/>
    <w:basedOn w:val="a"/>
    <w:rsid w:val="002E0A8E"/>
    <w:pPr>
      <w:overflowPunct/>
      <w:autoSpaceDE/>
      <w:autoSpaceDN/>
      <w:adjustRightInd/>
      <w:spacing w:before="100" w:beforeAutospacing="1" w:after="100" w:afterAutospacing="1" w:line="240" w:lineRule="auto"/>
      <w:ind w:firstLine="0"/>
      <w:jc w:val="left"/>
      <w:textAlignment w:val="auto"/>
    </w:pPr>
    <w:rPr>
      <w:lang w:val="ru-RU"/>
    </w:rPr>
  </w:style>
  <w:style w:type="paragraph" w:styleId="af0">
    <w:name w:val="Normal (Web)"/>
    <w:basedOn w:val="a"/>
    <w:rsid w:val="002E0A8E"/>
    <w:pPr>
      <w:overflowPunct/>
      <w:autoSpaceDE/>
      <w:autoSpaceDN/>
      <w:adjustRightInd/>
      <w:spacing w:before="100" w:beforeAutospacing="1" w:after="100" w:afterAutospacing="1" w:line="240" w:lineRule="auto"/>
      <w:ind w:firstLine="0"/>
      <w:jc w:val="left"/>
      <w:textAlignment w:val="auto"/>
    </w:pPr>
    <w:rPr>
      <w:lang w:val="ru-RU"/>
    </w:rPr>
  </w:style>
  <w:style w:type="paragraph" w:customStyle="1" w:styleId="13">
    <w:name w:val="1"/>
    <w:basedOn w:val="a"/>
    <w:rsid w:val="002E0A8E"/>
    <w:pPr>
      <w:overflowPunct/>
      <w:autoSpaceDE/>
      <w:autoSpaceDN/>
      <w:adjustRightInd/>
      <w:spacing w:before="100" w:beforeAutospacing="1" w:after="100" w:afterAutospacing="1" w:line="240" w:lineRule="auto"/>
      <w:ind w:firstLine="0"/>
      <w:jc w:val="left"/>
      <w:textAlignment w:val="auto"/>
    </w:pPr>
    <w:rPr>
      <w:lang w:val="ru-RU"/>
    </w:rPr>
  </w:style>
  <w:style w:type="character" w:customStyle="1" w:styleId="link-external">
    <w:name w:val="link-external"/>
    <w:basedOn w:val="a0"/>
    <w:rsid w:val="002E0A8E"/>
    <w:rPr>
      <w:rFonts w:cs="Times New Roman"/>
    </w:rPr>
  </w:style>
  <w:style w:type="paragraph" w:customStyle="1" w:styleId="af1">
    <w:name w:val="a"/>
    <w:basedOn w:val="a"/>
    <w:rsid w:val="002E0A8E"/>
    <w:pPr>
      <w:overflowPunct/>
      <w:autoSpaceDE/>
      <w:autoSpaceDN/>
      <w:adjustRightInd/>
      <w:spacing w:before="100" w:beforeAutospacing="1" w:after="100" w:afterAutospacing="1" w:line="240" w:lineRule="auto"/>
      <w:ind w:firstLine="0"/>
      <w:jc w:val="left"/>
      <w:textAlignment w:val="auto"/>
    </w:pPr>
    <w:rPr>
      <w:lang w:val="ru-RU"/>
    </w:rPr>
  </w:style>
  <w:style w:type="paragraph" w:customStyle="1" w:styleId="default">
    <w:name w:val="default"/>
    <w:basedOn w:val="a"/>
    <w:rsid w:val="002E0A8E"/>
    <w:pPr>
      <w:overflowPunct/>
      <w:autoSpaceDE/>
      <w:autoSpaceDN/>
      <w:adjustRightInd/>
      <w:spacing w:before="100" w:beforeAutospacing="1" w:after="100" w:afterAutospacing="1" w:line="240" w:lineRule="auto"/>
      <w:ind w:firstLine="0"/>
      <w:jc w:val="left"/>
      <w:textAlignment w:val="auto"/>
    </w:pPr>
    <w:rPr>
      <w:lang w:val="ru-RU"/>
    </w:rPr>
  </w:style>
  <w:style w:type="paragraph" w:customStyle="1" w:styleId="a00">
    <w:name w:val="a0"/>
    <w:basedOn w:val="a"/>
    <w:rsid w:val="002E0A8E"/>
    <w:pPr>
      <w:overflowPunct/>
      <w:autoSpaceDE/>
      <w:autoSpaceDN/>
      <w:adjustRightInd/>
      <w:spacing w:before="100" w:beforeAutospacing="1" w:after="100" w:afterAutospacing="1" w:line="240" w:lineRule="auto"/>
      <w:ind w:firstLine="0"/>
      <w:jc w:val="left"/>
      <w:textAlignment w:val="auto"/>
    </w:pPr>
    <w:rPr>
      <w:lang w:val="ru-RU"/>
    </w:rPr>
  </w:style>
  <w:style w:type="character" w:customStyle="1" w:styleId="7">
    <w:name w:val="Знак Знак7"/>
    <w:basedOn w:val="a0"/>
    <w:rsid w:val="002E0A8E"/>
    <w:rPr>
      <w:rFonts w:ascii="Times New Roman" w:hAnsi="Times New Roman" w:cs="Times New Roman"/>
      <w:b/>
      <w:bCs/>
      <w:kern w:val="36"/>
      <w:sz w:val="48"/>
      <w:szCs w:val="48"/>
      <w:lang w:val="x-none" w:eastAsia="ru-RU"/>
    </w:rPr>
  </w:style>
  <w:style w:type="character" w:customStyle="1" w:styleId="61">
    <w:name w:val="Знак Знак6"/>
    <w:basedOn w:val="a0"/>
    <w:rsid w:val="002E0A8E"/>
    <w:rPr>
      <w:rFonts w:cs="Times New Roman"/>
      <w:b/>
      <w:bCs/>
      <w:sz w:val="36"/>
      <w:szCs w:val="36"/>
      <w:lang w:val="ru-RU" w:eastAsia="ru-RU" w:bidi="ar-SA"/>
    </w:rPr>
  </w:style>
  <w:style w:type="character" w:customStyle="1" w:styleId="51">
    <w:name w:val="Знак Знак5"/>
    <w:basedOn w:val="a0"/>
    <w:rsid w:val="002E0A8E"/>
    <w:rPr>
      <w:rFonts w:cs="Times New Roman"/>
      <w:b/>
      <w:bCs/>
      <w:lang w:val="ru-RU" w:eastAsia="ru-RU" w:bidi="ar-SA"/>
    </w:rPr>
  </w:style>
  <w:style w:type="character" w:customStyle="1" w:styleId="14">
    <w:name w:val="Основной текст с отступом Знак1"/>
    <w:basedOn w:val="a0"/>
    <w:semiHidden/>
    <w:rsid w:val="002E0A8E"/>
    <w:rPr>
      <w:rFonts w:ascii="Times New Roman" w:hAnsi="Times New Roman" w:cs="Times New Roman"/>
      <w:sz w:val="24"/>
      <w:szCs w:val="24"/>
      <w:lang w:val="x-none" w:eastAsia="ru-RU"/>
    </w:rPr>
  </w:style>
  <w:style w:type="character" w:customStyle="1" w:styleId="41">
    <w:name w:val="Знак Знак4"/>
    <w:basedOn w:val="a0"/>
    <w:rsid w:val="002E0A8E"/>
    <w:rPr>
      <w:rFonts w:cs="Times New Roman"/>
      <w:sz w:val="24"/>
      <w:szCs w:val="24"/>
      <w:lang w:val="ru-RU" w:eastAsia="ru-RU" w:bidi="ar-SA"/>
    </w:rPr>
  </w:style>
  <w:style w:type="character" w:customStyle="1" w:styleId="210">
    <w:name w:val="Основной текст 2 Знак1"/>
    <w:basedOn w:val="a0"/>
    <w:semiHidden/>
    <w:rsid w:val="002E0A8E"/>
    <w:rPr>
      <w:rFonts w:ascii="Times New Roman" w:hAnsi="Times New Roman" w:cs="Times New Roman"/>
      <w:sz w:val="24"/>
      <w:szCs w:val="24"/>
      <w:lang w:val="x-none" w:eastAsia="ru-RU"/>
    </w:rPr>
  </w:style>
  <w:style w:type="paragraph" w:customStyle="1" w:styleId="centertitle">
    <w:name w:val="centertitle"/>
    <w:basedOn w:val="a"/>
    <w:rsid w:val="002E0A8E"/>
    <w:pPr>
      <w:overflowPunct/>
      <w:autoSpaceDE/>
      <w:autoSpaceDN/>
      <w:adjustRightInd/>
      <w:spacing w:before="100" w:beforeAutospacing="1" w:after="100" w:afterAutospacing="1" w:line="240" w:lineRule="auto"/>
      <w:ind w:firstLine="0"/>
      <w:jc w:val="left"/>
      <w:textAlignment w:val="auto"/>
    </w:pPr>
    <w:rPr>
      <w:lang w:val="ru-RU"/>
    </w:rPr>
  </w:style>
  <w:style w:type="paragraph" w:customStyle="1" w:styleId="consnormal">
    <w:name w:val="consnormal"/>
    <w:basedOn w:val="a"/>
    <w:rsid w:val="002E0A8E"/>
    <w:pPr>
      <w:overflowPunct/>
      <w:autoSpaceDE/>
      <w:autoSpaceDN/>
      <w:adjustRightInd/>
      <w:spacing w:before="100" w:beforeAutospacing="1" w:after="100" w:afterAutospacing="1" w:line="240" w:lineRule="auto"/>
      <w:ind w:firstLine="0"/>
      <w:jc w:val="left"/>
      <w:textAlignment w:val="auto"/>
    </w:pPr>
    <w:rPr>
      <w:lang w:val="ru-RU"/>
    </w:rPr>
  </w:style>
  <w:style w:type="character" w:customStyle="1" w:styleId="31">
    <w:name w:val="Основной текст с отступом 3 Знак"/>
    <w:basedOn w:val="a0"/>
    <w:link w:val="32"/>
    <w:semiHidden/>
    <w:locked/>
    <w:rsid w:val="002E0A8E"/>
    <w:rPr>
      <w:rFonts w:ascii="Times New Roman" w:hAnsi="Times New Roman" w:cs="Times New Roman"/>
      <w:sz w:val="24"/>
      <w:szCs w:val="24"/>
      <w:lang w:val="x-none" w:eastAsia="ru-RU"/>
    </w:rPr>
  </w:style>
  <w:style w:type="paragraph" w:styleId="32">
    <w:name w:val="Body Text Indent 3"/>
    <w:basedOn w:val="a"/>
    <w:link w:val="31"/>
    <w:semiHidden/>
    <w:rsid w:val="002E0A8E"/>
    <w:pPr>
      <w:overflowPunct/>
      <w:autoSpaceDE/>
      <w:autoSpaceDN/>
      <w:adjustRightInd/>
      <w:spacing w:before="100" w:beforeAutospacing="1" w:after="100" w:afterAutospacing="1" w:line="240" w:lineRule="auto"/>
      <w:ind w:firstLine="0"/>
      <w:jc w:val="left"/>
      <w:textAlignment w:val="auto"/>
    </w:pPr>
    <w:rPr>
      <w:rFonts w:eastAsia="Times New Roman"/>
      <w:lang w:val="ru-RU"/>
    </w:rPr>
  </w:style>
  <w:style w:type="character" w:customStyle="1" w:styleId="310">
    <w:name w:val="Основной текст с отступом 3 Знак1"/>
    <w:basedOn w:val="a0"/>
    <w:semiHidden/>
    <w:rsid w:val="002E0A8E"/>
    <w:rPr>
      <w:rFonts w:ascii="Times New Roman" w:hAnsi="Times New Roman" w:cs="Times New Roman"/>
      <w:sz w:val="16"/>
      <w:szCs w:val="16"/>
      <w:lang w:val="en-GB" w:eastAsia="ru-RU"/>
    </w:rPr>
  </w:style>
  <w:style w:type="character" w:customStyle="1" w:styleId="211">
    <w:name w:val="Основной текст с отступом 2 Знак1"/>
    <w:basedOn w:val="a0"/>
    <w:semiHidden/>
    <w:rsid w:val="002E0A8E"/>
    <w:rPr>
      <w:rFonts w:ascii="Times New Roman" w:hAnsi="Times New Roman" w:cs="Times New Roman"/>
      <w:sz w:val="24"/>
      <w:szCs w:val="24"/>
      <w:lang w:val="x-none" w:eastAsia="ru-RU"/>
    </w:rPr>
  </w:style>
  <w:style w:type="paragraph" w:customStyle="1" w:styleId="content">
    <w:name w:val="content"/>
    <w:basedOn w:val="a"/>
    <w:rsid w:val="002E0A8E"/>
    <w:pPr>
      <w:overflowPunct/>
      <w:autoSpaceDE/>
      <w:autoSpaceDN/>
      <w:adjustRightInd/>
      <w:spacing w:before="100" w:beforeAutospacing="1" w:after="100" w:afterAutospacing="1" w:line="240" w:lineRule="auto"/>
      <w:ind w:firstLine="0"/>
      <w:jc w:val="left"/>
      <w:textAlignment w:val="auto"/>
    </w:pPr>
    <w:rPr>
      <w:lang w:val="ru-RU"/>
    </w:rPr>
  </w:style>
  <w:style w:type="character" w:customStyle="1" w:styleId="text1">
    <w:name w:val="text1"/>
    <w:basedOn w:val="a0"/>
    <w:rsid w:val="002E0A8E"/>
    <w:rPr>
      <w:rFonts w:cs="Times New Roman"/>
    </w:rPr>
  </w:style>
  <w:style w:type="paragraph" w:customStyle="1" w:styleId="consplusnormal">
    <w:name w:val="consplusnormal"/>
    <w:basedOn w:val="a"/>
    <w:rsid w:val="002E0A8E"/>
    <w:pPr>
      <w:overflowPunct/>
      <w:autoSpaceDE/>
      <w:autoSpaceDN/>
      <w:adjustRightInd/>
      <w:spacing w:before="100" w:beforeAutospacing="1" w:after="100" w:afterAutospacing="1" w:line="240" w:lineRule="auto"/>
      <w:ind w:firstLine="0"/>
      <w:jc w:val="left"/>
      <w:textAlignment w:val="auto"/>
    </w:pPr>
    <w:rPr>
      <w:lang w:val="ru-RU"/>
    </w:rPr>
  </w:style>
  <w:style w:type="paragraph" w:styleId="af2">
    <w:name w:val="header"/>
    <w:basedOn w:val="a"/>
    <w:link w:val="af3"/>
    <w:rsid w:val="002E0A8E"/>
    <w:pPr>
      <w:overflowPunct/>
      <w:autoSpaceDE/>
      <w:autoSpaceDN/>
      <w:adjustRightInd/>
      <w:spacing w:before="100" w:beforeAutospacing="1" w:after="100" w:afterAutospacing="1" w:line="240" w:lineRule="auto"/>
      <w:ind w:firstLine="0"/>
      <w:jc w:val="left"/>
      <w:textAlignment w:val="auto"/>
    </w:pPr>
    <w:rPr>
      <w:lang w:val="ru-RU"/>
    </w:rPr>
  </w:style>
  <w:style w:type="character" w:customStyle="1" w:styleId="af3">
    <w:name w:val="Верхний колонтитул Знак"/>
    <w:basedOn w:val="a0"/>
    <w:link w:val="af2"/>
    <w:locked/>
    <w:rsid w:val="002E0A8E"/>
    <w:rPr>
      <w:rFonts w:ascii="Times New Roman" w:hAnsi="Times New Roman" w:cs="Times New Roman"/>
      <w:sz w:val="24"/>
      <w:szCs w:val="24"/>
      <w:lang w:val="x-none" w:eastAsia="ru-RU"/>
    </w:rPr>
  </w:style>
  <w:style w:type="character" w:customStyle="1" w:styleId="af4">
    <w:name w:val="Текст выноски Знак"/>
    <w:basedOn w:val="a0"/>
    <w:link w:val="af5"/>
    <w:semiHidden/>
    <w:locked/>
    <w:rsid w:val="002E0A8E"/>
    <w:rPr>
      <w:rFonts w:ascii="Tahoma" w:hAnsi="Tahoma" w:cs="Tahoma"/>
      <w:sz w:val="16"/>
      <w:szCs w:val="16"/>
      <w:lang w:val="x-none" w:eastAsia="ru-RU"/>
    </w:rPr>
  </w:style>
  <w:style w:type="paragraph" w:styleId="af5">
    <w:name w:val="Balloon Text"/>
    <w:basedOn w:val="a"/>
    <w:link w:val="af4"/>
    <w:semiHidden/>
    <w:rsid w:val="002E0A8E"/>
    <w:pPr>
      <w:overflowPunct/>
      <w:autoSpaceDE/>
      <w:autoSpaceDN/>
      <w:adjustRightInd/>
      <w:spacing w:line="240" w:lineRule="auto"/>
      <w:ind w:firstLine="0"/>
      <w:jc w:val="left"/>
      <w:textAlignment w:val="auto"/>
    </w:pPr>
    <w:rPr>
      <w:rFonts w:ascii="Tahoma" w:eastAsia="Times New Roman" w:hAnsi="Tahoma" w:cs="Tahoma"/>
      <w:sz w:val="16"/>
      <w:szCs w:val="16"/>
      <w:lang w:val="ru-RU"/>
    </w:rPr>
  </w:style>
  <w:style w:type="character" w:customStyle="1" w:styleId="15">
    <w:name w:val="Текст выноски Знак1"/>
    <w:basedOn w:val="a0"/>
    <w:semiHidden/>
    <w:rsid w:val="002E0A8E"/>
    <w:rPr>
      <w:rFonts w:ascii="Tahoma" w:hAnsi="Tahoma" w:cs="Tahoma"/>
      <w:sz w:val="16"/>
      <w:szCs w:val="16"/>
      <w:lang w:val="en-GB" w:eastAsia="ru-RU"/>
    </w:rPr>
  </w:style>
  <w:style w:type="paragraph" w:customStyle="1" w:styleId="titlepage">
    <w:name w:val="titlepage"/>
    <w:basedOn w:val="a"/>
    <w:rsid w:val="002E0A8E"/>
    <w:pPr>
      <w:overflowPunct/>
      <w:autoSpaceDE/>
      <w:autoSpaceDN/>
      <w:adjustRightInd/>
      <w:spacing w:before="75" w:after="75" w:line="240" w:lineRule="auto"/>
      <w:ind w:firstLine="150"/>
      <w:jc w:val="center"/>
      <w:textAlignment w:val="auto"/>
    </w:pPr>
    <w:rPr>
      <w:rFonts w:ascii="Arial" w:hAnsi="Arial" w:cs="Arial"/>
      <w:b/>
      <w:bCs/>
      <w:caps/>
      <w:color w:val="B00000"/>
      <w:lang w:val="ru-RU"/>
    </w:rPr>
  </w:style>
  <w:style w:type="paragraph" w:customStyle="1" w:styleId="zagc-1">
    <w:name w:val="zagc-1"/>
    <w:basedOn w:val="a"/>
    <w:rsid w:val="002E0A8E"/>
    <w:pPr>
      <w:overflowPunct/>
      <w:autoSpaceDE/>
      <w:autoSpaceDN/>
      <w:adjustRightInd/>
      <w:spacing w:before="180" w:after="60" w:line="240" w:lineRule="auto"/>
      <w:ind w:firstLine="150"/>
      <w:jc w:val="center"/>
      <w:textAlignment w:val="auto"/>
    </w:pPr>
    <w:rPr>
      <w:rFonts w:ascii="Arial" w:hAnsi="Arial" w:cs="Arial"/>
      <w:b/>
      <w:bCs/>
      <w:caps/>
      <w:color w:val="29211E"/>
      <w:sz w:val="20"/>
      <w:szCs w:val="20"/>
      <w:lang w:val="ru-RU"/>
    </w:rPr>
  </w:style>
  <w:style w:type="paragraph" w:customStyle="1" w:styleId="zagc-2">
    <w:name w:val="zagc-2"/>
    <w:basedOn w:val="a"/>
    <w:rsid w:val="002E0A8E"/>
    <w:pPr>
      <w:overflowPunct/>
      <w:autoSpaceDE/>
      <w:autoSpaceDN/>
      <w:adjustRightInd/>
      <w:spacing w:before="135" w:after="60" w:line="240" w:lineRule="auto"/>
      <w:ind w:firstLine="150"/>
      <w:jc w:val="center"/>
      <w:textAlignment w:val="auto"/>
    </w:pPr>
    <w:rPr>
      <w:rFonts w:ascii="Arial" w:hAnsi="Arial" w:cs="Arial"/>
      <w:b/>
      <w:bCs/>
      <w:color w:val="29211E"/>
      <w:sz w:val="18"/>
      <w:szCs w:val="18"/>
      <w:lang w:val="ru-RU"/>
    </w:rPr>
  </w:style>
  <w:style w:type="table" w:styleId="af6">
    <w:name w:val="Table Grid"/>
    <w:basedOn w:val="a1"/>
    <w:rsid w:val="002E0A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tyumen.ru" TargetMode="External"/><Relationship Id="rId13" Type="http://schemas.openxmlformats.org/officeDocument/2006/relationships/hyperlink" Target="http://www.rosinves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umstat.gks.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mn.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ks.ru" TargetMode="External"/><Relationship Id="rId4" Type="http://schemas.openxmlformats.org/officeDocument/2006/relationships/webSettings" Target="webSettings.xml"/><Relationship Id="rId9" Type="http://schemas.openxmlformats.org/officeDocument/2006/relationships/hyperlink" Target="http://www.72.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8547</Words>
  <Characters>48722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57155</CharactersWithSpaces>
  <SharedDoc>false</SharedDoc>
  <HLinks>
    <vt:vector size="36" baseType="variant">
      <vt:variant>
        <vt:i4>5963794</vt:i4>
      </vt:variant>
      <vt:variant>
        <vt:i4>15</vt:i4>
      </vt:variant>
      <vt:variant>
        <vt:i4>0</vt:i4>
      </vt:variant>
      <vt:variant>
        <vt:i4>5</vt:i4>
      </vt:variant>
      <vt:variant>
        <vt:lpwstr>http://www.rosinvest.com/</vt:lpwstr>
      </vt:variant>
      <vt:variant>
        <vt:lpwstr/>
      </vt:variant>
      <vt:variant>
        <vt:i4>8061040</vt:i4>
      </vt:variant>
      <vt:variant>
        <vt:i4>12</vt:i4>
      </vt:variant>
      <vt:variant>
        <vt:i4>0</vt:i4>
      </vt:variant>
      <vt:variant>
        <vt:i4>5</vt:i4>
      </vt:variant>
      <vt:variant>
        <vt:lpwstr>http://tumstat.gks.ru/</vt:lpwstr>
      </vt:variant>
      <vt:variant>
        <vt:lpwstr/>
      </vt:variant>
      <vt:variant>
        <vt:i4>7077990</vt:i4>
      </vt:variant>
      <vt:variant>
        <vt:i4>9</vt:i4>
      </vt:variant>
      <vt:variant>
        <vt:i4>0</vt:i4>
      </vt:variant>
      <vt:variant>
        <vt:i4>5</vt:i4>
      </vt:variant>
      <vt:variant>
        <vt:lpwstr>http://www.tmn.ru/</vt:lpwstr>
      </vt:variant>
      <vt:variant>
        <vt:lpwstr/>
      </vt:variant>
      <vt:variant>
        <vt:i4>6422624</vt:i4>
      </vt:variant>
      <vt:variant>
        <vt:i4>6</vt:i4>
      </vt:variant>
      <vt:variant>
        <vt:i4>0</vt:i4>
      </vt:variant>
      <vt:variant>
        <vt:i4>5</vt:i4>
      </vt:variant>
      <vt:variant>
        <vt:lpwstr>http://www.gks.ru/</vt:lpwstr>
      </vt:variant>
      <vt:variant>
        <vt:lpwstr/>
      </vt:variant>
      <vt:variant>
        <vt:i4>4653072</vt:i4>
      </vt:variant>
      <vt:variant>
        <vt:i4>3</vt:i4>
      </vt:variant>
      <vt:variant>
        <vt:i4>0</vt:i4>
      </vt:variant>
      <vt:variant>
        <vt:i4>5</vt:i4>
      </vt:variant>
      <vt:variant>
        <vt:lpwstr>http://www.72.ru/</vt:lpwstr>
      </vt:variant>
      <vt:variant>
        <vt:lpwstr/>
      </vt:variant>
      <vt:variant>
        <vt:i4>11</vt:i4>
      </vt:variant>
      <vt:variant>
        <vt:i4>0</vt:i4>
      </vt:variant>
      <vt:variant>
        <vt:i4>0</vt:i4>
      </vt:variant>
      <vt:variant>
        <vt:i4>5</vt:i4>
      </vt:variant>
      <vt:variant>
        <vt:lpwstr>http://www.admtyumen.ru/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HP</dc:creator>
  <cp:keywords/>
  <dc:description/>
  <cp:lastModifiedBy>admin</cp:lastModifiedBy>
  <cp:revision>2</cp:revision>
  <cp:lastPrinted>2010-12-13T16:12:00Z</cp:lastPrinted>
  <dcterms:created xsi:type="dcterms:W3CDTF">2014-04-23T03:08:00Z</dcterms:created>
  <dcterms:modified xsi:type="dcterms:W3CDTF">2014-04-23T03:08:00Z</dcterms:modified>
</cp:coreProperties>
</file>