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CB" w:rsidRDefault="006446CB">
      <w:pPr>
        <w:pStyle w:val="af"/>
      </w:pPr>
      <w:r>
        <w:t>БЕЛОРУССКИЙ ГОСУДАРСТВЕННЫЙ УНИВЕРСИТЕТ ИНФОРМАТИКИ И РАДИОЭЛЕКТРОНИКИ</w:t>
      </w:r>
    </w:p>
    <w:p w:rsidR="006446CB" w:rsidRDefault="006446CB">
      <w:pPr>
        <w:pStyle w:val="af"/>
      </w:pPr>
      <w:r>
        <w:t xml:space="preserve">Кафедра экономики </w:t>
      </w: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  <w:r>
        <w:t>РЕФЕРАТ</w:t>
      </w:r>
    </w:p>
    <w:p w:rsidR="006446CB" w:rsidRDefault="006446CB">
      <w:pPr>
        <w:pStyle w:val="af"/>
      </w:pPr>
      <w:r>
        <w:t xml:space="preserve">На тему: </w:t>
      </w:r>
    </w:p>
    <w:p w:rsidR="006446CB" w:rsidRDefault="006446CB">
      <w:pPr>
        <w:pStyle w:val="af"/>
      </w:pPr>
      <w:r>
        <w:t>"Анализ финансовых показателей, объемов производства, реализации и себестоимости продукции СП ЗАО "МАЗ-МАН""</w:t>
      </w: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</w:p>
    <w:p w:rsidR="006446CB" w:rsidRDefault="006446CB">
      <w:pPr>
        <w:pStyle w:val="af"/>
      </w:pPr>
      <w:r>
        <w:t>МИНСК, 2008</w:t>
      </w:r>
    </w:p>
    <w:p w:rsidR="006446CB" w:rsidRDefault="006446CB">
      <w:pPr>
        <w:pStyle w:val="2"/>
      </w:pPr>
      <w:r>
        <w:rPr>
          <w:kern w:val="0"/>
        </w:rPr>
        <w:br w:type="page"/>
      </w:r>
      <w:r>
        <w:rPr>
          <w:kern w:val="0"/>
        </w:rPr>
        <w:lastRenderedPageBreak/>
        <w:t>1. Анализ объемов производства и реализации продукци</w:t>
      </w:r>
      <w:r>
        <w:t xml:space="preserve">и </w:t>
      </w:r>
    </w:p>
    <w:p w:rsidR="006446CB" w:rsidRDefault="006446CB"/>
    <w:p w:rsidR="006446CB" w:rsidRDefault="006446CB">
      <w:r>
        <w:t xml:space="preserve">За 2007 год было произведено и продано 327 автомобилей (см. табл.1). </w:t>
      </w:r>
    </w:p>
    <w:p w:rsidR="006446CB" w:rsidRDefault="006446CB">
      <w:r>
        <w:t>Таблица 1.</w:t>
      </w:r>
    </w:p>
    <w:p w:rsidR="006446CB" w:rsidRDefault="006446CB">
      <w:r>
        <w:t xml:space="preserve">Объем выпуска СП "МАЗ-МАН" за 2007год, у. е.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2464"/>
        <w:gridCol w:w="2487"/>
        <w:gridCol w:w="2010"/>
      </w:tblGrid>
      <w:tr w:rsidR="006446CB" w:rsidRPr="006446CB">
        <w:trPr>
          <w:jc w:val="center"/>
        </w:trPr>
        <w:tc>
          <w:tcPr>
            <w:tcW w:w="136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Показатели</w:t>
            </w:r>
          </w:p>
        </w:tc>
        <w:tc>
          <w:tcPr>
            <w:tcW w:w="1287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ЕВРО-1</w:t>
            </w:r>
          </w:p>
        </w:tc>
        <w:tc>
          <w:tcPr>
            <w:tcW w:w="1299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ЕВРО-2</w:t>
            </w:r>
          </w:p>
        </w:tc>
        <w:tc>
          <w:tcPr>
            <w:tcW w:w="105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ЕВРО-3</w:t>
            </w:r>
          </w:p>
        </w:tc>
      </w:tr>
      <w:tr w:rsidR="006446CB" w:rsidRPr="006446CB">
        <w:trPr>
          <w:jc w:val="center"/>
        </w:trPr>
        <w:tc>
          <w:tcPr>
            <w:tcW w:w="1364" w:type="pct"/>
          </w:tcPr>
          <w:p w:rsidR="006446CB" w:rsidRPr="006446CB" w:rsidRDefault="006446CB">
            <w:pPr>
              <w:pStyle w:val="ac"/>
            </w:pPr>
            <w:r w:rsidRPr="006446CB">
              <w:t>Товарный выпуск</w:t>
            </w:r>
          </w:p>
        </w:tc>
        <w:tc>
          <w:tcPr>
            <w:tcW w:w="1287" w:type="pct"/>
          </w:tcPr>
          <w:p w:rsidR="006446CB" w:rsidRPr="006446CB" w:rsidRDefault="006446CB">
            <w:pPr>
              <w:pStyle w:val="ac"/>
            </w:pPr>
            <w:r w:rsidRPr="006446CB">
              <w:t>54</w:t>
            </w:r>
          </w:p>
        </w:tc>
        <w:tc>
          <w:tcPr>
            <w:tcW w:w="1299" w:type="pct"/>
          </w:tcPr>
          <w:p w:rsidR="006446CB" w:rsidRPr="006446CB" w:rsidRDefault="006446CB">
            <w:pPr>
              <w:pStyle w:val="ac"/>
            </w:pPr>
            <w:r w:rsidRPr="006446CB">
              <w:t>270</w:t>
            </w:r>
          </w:p>
        </w:tc>
        <w:tc>
          <w:tcPr>
            <w:tcW w:w="1050" w:type="pct"/>
          </w:tcPr>
          <w:p w:rsidR="006446CB" w:rsidRPr="006446CB" w:rsidRDefault="006446CB">
            <w:pPr>
              <w:pStyle w:val="ac"/>
            </w:pPr>
            <w:r w:rsidRPr="006446CB">
              <w:t>3</w:t>
            </w:r>
          </w:p>
        </w:tc>
      </w:tr>
      <w:tr w:rsidR="006446CB" w:rsidRPr="006446CB">
        <w:trPr>
          <w:jc w:val="center"/>
        </w:trPr>
        <w:tc>
          <w:tcPr>
            <w:tcW w:w="1364" w:type="pct"/>
          </w:tcPr>
          <w:p w:rsidR="006446CB" w:rsidRPr="006446CB" w:rsidRDefault="006446CB">
            <w:pPr>
              <w:pStyle w:val="ac"/>
            </w:pPr>
            <w:r w:rsidRPr="006446CB">
              <w:t>Стоимость едини-цы, долл. США</w:t>
            </w:r>
          </w:p>
        </w:tc>
        <w:tc>
          <w:tcPr>
            <w:tcW w:w="1287" w:type="pct"/>
          </w:tcPr>
          <w:p w:rsidR="006446CB" w:rsidRPr="006446CB" w:rsidRDefault="006446CB">
            <w:pPr>
              <w:pStyle w:val="ac"/>
            </w:pPr>
            <w:r w:rsidRPr="006446CB">
              <w:t>40000</w:t>
            </w:r>
          </w:p>
        </w:tc>
        <w:tc>
          <w:tcPr>
            <w:tcW w:w="1299" w:type="pct"/>
          </w:tcPr>
          <w:p w:rsidR="006446CB" w:rsidRPr="006446CB" w:rsidRDefault="006446CB">
            <w:pPr>
              <w:pStyle w:val="ac"/>
            </w:pPr>
            <w:r w:rsidRPr="006446CB">
              <w:t>45000</w:t>
            </w:r>
          </w:p>
        </w:tc>
        <w:tc>
          <w:tcPr>
            <w:tcW w:w="1050" w:type="pct"/>
          </w:tcPr>
          <w:p w:rsidR="006446CB" w:rsidRPr="006446CB" w:rsidRDefault="006446CB">
            <w:pPr>
              <w:pStyle w:val="ac"/>
            </w:pPr>
            <w:r w:rsidRPr="006446CB">
              <w:t>53000</w:t>
            </w:r>
          </w:p>
        </w:tc>
      </w:tr>
      <w:tr w:rsidR="006446CB" w:rsidRPr="006446CB">
        <w:trPr>
          <w:jc w:val="center"/>
        </w:trPr>
        <w:tc>
          <w:tcPr>
            <w:tcW w:w="1364" w:type="pct"/>
          </w:tcPr>
          <w:p w:rsidR="006446CB" w:rsidRPr="006446CB" w:rsidRDefault="006446CB">
            <w:pPr>
              <w:pStyle w:val="ac"/>
            </w:pPr>
            <w:r w:rsidRPr="006446CB">
              <w:t>Итого, долл. США</w:t>
            </w:r>
          </w:p>
        </w:tc>
        <w:tc>
          <w:tcPr>
            <w:tcW w:w="1287" w:type="pct"/>
          </w:tcPr>
          <w:p w:rsidR="006446CB" w:rsidRPr="006446CB" w:rsidRDefault="006446CB">
            <w:pPr>
              <w:pStyle w:val="ac"/>
            </w:pPr>
            <w:r w:rsidRPr="006446CB">
              <w:t>2160000</w:t>
            </w:r>
          </w:p>
        </w:tc>
        <w:tc>
          <w:tcPr>
            <w:tcW w:w="1299" w:type="pct"/>
          </w:tcPr>
          <w:p w:rsidR="006446CB" w:rsidRPr="006446CB" w:rsidRDefault="006446CB">
            <w:pPr>
              <w:pStyle w:val="ac"/>
            </w:pPr>
            <w:r w:rsidRPr="006446CB">
              <w:t>12150000</w:t>
            </w:r>
          </w:p>
        </w:tc>
        <w:tc>
          <w:tcPr>
            <w:tcW w:w="1050" w:type="pct"/>
          </w:tcPr>
          <w:p w:rsidR="006446CB" w:rsidRPr="006446CB" w:rsidRDefault="006446CB">
            <w:pPr>
              <w:pStyle w:val="ac"/>
            </w:pPr>
            <w:r w:rsidRPr="006446CB">
              <w:t>159000</w:t>
            </w:r>
          </w:p>
        </w:tc>
      </w:tr>
      <w:tr w:rsidR="006446CB" w:rsidRPr="006446CB">
        <w:trPr>
          <w:jc w:val="center"/>
        </w:trPr>
        <w:tc>
          <w:tcPr>
            <w:tcW w:w="1364" w:type="pct"/>
          </w:tcPr>
          <w:p w:rsidR="006446CB" w:rsidRPr="006446CB" w:rsidRDefault="006446CB">
            <w:pPr>
              <w:pStyle w:val="ac"/>
            </w:pPr>
            <w:r w:rsidRPr="006446CB">
              <w:t xml:space="preserve">ИТОГО </w:t>
            </w:r>
          </w:p>
        </w:tc>
        <w:tc>
          <w:tcPr>
            <w:tcW w:w="3636" w:type="pct"/>
            <w:gridSpan w:val="3"/>
          </w:tcPr>
          <w:p w:rsidR="006446CB" w:rsidRPr="006446CB" w:rsidRDefault="006446CB">
            <w:pPr>
              <w:pStyle w:val="ac"/>
            </w:pPr>
            <w:r w:rsidRPr="006446CB">
              <w:t>14469000</w:t>
            </w:r>
          </w:p>
        </w:tc>
      </w:tr>
    </w:tbl>
    <w:p w:rsidR="006446CB" w:rsidRDefault="006446CB"/>
    <w:p w:rsidR="006446CB" w:rsidRDefault="006446CB">
      <w:r>
        <w:t xml:space="preserve">Из 327 тягачей 51 машин было продано белорусским предприятиям, 18 из них были реализованы по товарообменным операциям Минскому автомобильному заводу в качестве оплаты за комплектующие.36 тягачей были экспортированы на Украину, 30 в Таджикистан, остальная техника была продана в РФ (рис.1). </w:t>
      </w:r>
    </w:p>
    <w:p w:rsidR="006446CB" w:rsidRDefault="006446CB">
      <w:r>
        <w:t>Рис.1. Географическая структура сбыта СП "МАЗ-МАН"</w:t>
      </w:r>
    </w:p>
    <w:p w:rsidR="006446CB" w:rsidRDefault="00017F9C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8pt;margin-top:416.7pt;width:446.85pt;height:194.95pt;z-index:251657728;mso-position-vertical-relative:page">
            <v:imagedata r:id="rId7" o:title=""/>
            <w10:wrap type="topAndBottom" anchory="page"/>
          </v:shape>
          <o:OLEObject Type="Embed" ProgID="Excel.Sheet.8" ShapeID="_x0000_s1026" DrawAspect="Content" ObjectID="_1469734031" r:id="rId8"/>
        </w:object>
      </w:r>
      <w:r w:rsidR="006446CB">
        <w:t xml:space="preserve">Оплата за автотехнику СП "МАЗ-МАН" производится в белорусских рублях, в долларах США, также отдается в лизинг и продается по товарообменным операциям. Однако большая часть поступлений проводится в СКВ, так как предприятие имеет лицензию на продажу своей продукции в Республике Беларусь за свободно-конвертируемую валюту. Необходимо отметить, что валютные средства не вывозятся за границу, а предприятие вкладывает полученные деньги в развитие производства, в воспроизводственный процесс, ведет инвестиционную деятельность. </w:t>
      </w:r>
    </w:p>
    <w:p w:rsidR="006446CB" w:rsidRDefault="006446CB">
      <w:r>
        <w:t xml:space="preserve">Доля импорта составляет 67%. </w:t>
      </w:r>
    </w:p>
    <w:p w:rsidR="006446CB" w:rsidRDefault="006446CB">
      <w:r>
        <w:t xml:space="preserve">В настоящее время сервисное и гарантийное обслуживание, все виды ремонта автомобилей МАЗ-МАN осуществляются на специализированных СТО дилеров, а также на СТО МАN в странах СНГ и Западной Европы. Так, в Республике Беларусь функционируют 2 специализированные СТО. Регулярно проводится обучение персонала СТО. В связи с увеличением количества техники в Республике Беларусь в ближайшее время непосредственно на заводе будет создана своя станция ТО и склад запчастей. За пределами Беларуси активно работают специализированные СТО в г. Москве и Санкт-Петербурге. Находится в стадии завершения создание центрального склада запчастей в г. Дахау, Германия. В апреле 2003 г. в г. Минске прошла обучение первая группа немецких механиков, работающих на сервисных станциях МАN в Германии. </w:t>
      </w:r>
    </w:p>
    <w:p w:rsidR="006446CB" w:rsidRDefault="006446CB">
      <w:r>
        <w:t xml:space="preserve">Специалисты сбытового предприятия поддерживают постоянную обратную связь с клиентами, эксплуатирующими автомобили МАЗ-МАN. Кроме того, четко отслеживается каждый случай гарантийного ремонта автомобилей. Полученная информация анализируется и в кратчайшие сроки доводится до производителя. Так, в результате большинство резинотехнических изделий (моста, амортизаторов, рулевого механизма) были заменены на импортные. Завод сменил поставщика рулевого механизма. Отныне на автомобили устанавливается клапан блокировки дифференциала производства фирмы "Wabco", датчик клапана перенесен в более чистую зону. Что касается части комплектующих МАN, завод перешел на опоры кабины увеличенной прочности, доработан трос подачи топлива (для Euro-1). Эти меры были приняты к октябрю прошлого года, и пока выход из строя узлов в связи с этими деталями не повторялся. В виду этого, если в прошлом году сумма, затраченная на гарантийный ремонт одного автомобиля, составила около 260 долларов, то в этом году планируется сократить ее вдвое. </w:t>
      </w:r>
    </w:p>
    <w:p w:rsidR="006446CB" w:rsidRDefault="006446CB">
      <w:r>
        <w:t xml:space="preserve">Для более полного удовлетворения широкого спроса отечественных перевозчиков на закупку автотехники в кредит ИП "МАЗ-МАН Трак Трейдинг" разработало гибкую программу лизинга, суть которой заключается в передаче права пользования автомобилем. При расчете процентной ставки лизинга учитывается: первоначальная стоимость автомобиля; период эксплуатации; порядок осуществления лизинговых платежей; размер предоплаты; остаточная стоимость. Одновременно предусмотрены следующие условия лизинга: </w:t>
      </w:r>
    </w:p>
    <w:p w:rsidR="006446CB" w:rsidRDefault="006446CB">
      <w:pPr>
        <w:pStyle w:val="a"/>
      </w:pPr>
      <w:r>
        <w:t xml:space="preserve">предоплата 30% от контрактной стоимости; </w:t>
      </w:r>
    </w:p>
    <w:p w:rsidR="006446CB" w:rsidRDefault="006446CB">
      <w:pPr>
        <w:pStyle w:val="a"/>
      </w:pPr>
      <w:r>
        <w:t xml:space="preserve">срок лизинга - 2 года; </w:t>
      </w:r>
    </w:p>
    <w:p w:rsidR="006446CB" w:rsidRDefault="006446CB">
      <w:pPr>
        <w:pStyle w:val="a"/>
      </w:pPr>
      <w:r>
        <w:t xml:space="preserve">лизинговая ставка - 12% годовых от убывающей суммы; </w:t>
      </w:r>
    </w:p>
    <w:p w:rsidR="006446CB" w:rsidRDefault="006446CB">
      <w:pPr>
        <w:pStyle w:val="a"/>
      </w:pPr>
      <w:r>
        <w:t xml:space="preserve">гарантии на оставшуюся сумму европейского банка 1-го класса. </w:t>
      </w:r>
    </w:p>
    <w:p w:rsidR="006446CB" w:rsidRDefault="006446CB">
      <w:r>
        <w:t xml:space="preserve">В дополнении к производственному СП в 1998 году была создана сбытовая структура - иностранное предприятие "МАЗ-МАН Трак Трейдинг". Однако в декабре 2001 г. ИП было присоединено к основному предприятию. Данное действие было обосновано тщательными подсчетами, произведенными специалистами предприятия "МАЗ-МАН". Необходимость такого шага, по словам акционеров, вызвана двумя причинами. Первая состоит в стремлении снизить издержки по продажам, более гибко реагировать на рыночные цены. Даже в случае бесприбыльной работы торгового предприятия в Беларуси оно должно уплачивать налоги, которые составляют около 5 процентов. Однако продажа автомобилей напрямую с предприятия позволяет уйти от этой необходимости. Кроме того, практика работы с потребителями стран СНГ показала, что они испытывают большее доверие к продукции, приобретенной непосредственно у производителя. Преобразование "МАЗ-МАН Трак Трейдинг" в отдел сбыта в рамках СП позволило сэкономить 20% издержек. </w:t>
      </w:r>
    </w:p>
    <w:p w:rsidR="006446CB" w:rsidRDefault="006446CB">
      <w:r>
        <w:t xml:space="preserve">Изначально "МАЗ-МАН Трак Трейдинг" являлось эксклюзивным представителем завода "МАЗ-МАН" по сбыту автотехники на рынках СНГ и Балтии и занималось организацией сети региональных представительств и станций техобслуживания в регионах продаж. </w:t>
      </w:r>
    </w:p>
    <w:p w:rsidR="006446CB" w:rsidRDefault="006446CB">
      <w:r>
        <w:t xml:space="preserve">Сегодня, сервисным отделом среди существующих направлений деятельности, помимо непосредственно продаж седельных тягачей, осуществляются юридическое обеспечение контрактов с клиентами, консультации по особенностям экономических решений приобретения техники. Одной из наиболее значимых сфер деятельности отдела является организация и курирование дилерской сети - сети продаж и сервиса техники МАЗ-МАN. Персонал сервисных станций МАЗ-МАN и МАN проходит необходимое обучение. Отдельно стоят мероприятия по привлечению новых партнеров и клиентов. Для этого каждый год разрабатывается план рекламных акций и маркетинговых мероприятий. </w:t>
      </w:r>
    </w:p>
    <w:p w:rsidR="006446CB" w:rsidRDefault="006446CB">
      <w:r>
        <w:t xml:space="preserve">На сегодняшний день сбытовой отдел успешно сотрудничает с 5 дилерами России и Беларуси. СП заинтересовано в дальнейшем расширении сети представительств, в первую очередь по регионам России и стран СНГ. </w:t>
      </w:r>
    </w:p>
    <w:p w:rsidR="006446CB" w:rsidRDefault="006446CB"/>
    <w:p w:rsidR="006446CB" w:rsidRDefault="006446CB">
      <w:pPr>
        <w:pStyle w:val="2"/>
      </w:pPr>
      <w:r>
        <w:rPr>
          <w:kern w:val="0"/>
        </w:rPr>
        <w:t xml:space="preserve">2. Анализ себестоимости продукции </w:t>
      </w:r>
    </w:p>
    <w:p w:rsidR="006446CB" w:rsidRDefault="006446CB"/>
    <w:p w:rsidR="006446CB" w:rsidRDefault="006446CB">
      <w:r>
        <w:t xml:space="preserve">Себестоимость продукции - один из важнейших экономических показателей деятельности промышленных предприятий и объединений. Она представляет собой стоимостную оценку всех используемых в процессе производства продукции природных ресурсов, сырья, материалов, топлива, энергии, основных фондов, нематериальных активов, трудовых ресурсов, а также других затрат на ее производство и реализацию. </w:t>
      </w:r>
    </w:p>
    <w:p w:rsidR="006446CB" w:rsidRDefault="006446CB">
      <w:r>
        <w:t xml:space="preserve">При анализе структуры себестоимости товарной продукции СП ЗАО "МАЗ-МАН" определим удельные веса (в процентах) отдельных статей калькуляции в общей сумме затрат и их изменение за отчетный период. Для такого анализа используем следующие данные: в табл.2 перечисляются статьи калькуляции и отражается их величина в фактической сумме и в структуре за период 2005-2007 гг.; а также для наглядности представлены диаграммы на рис.2. </w:t>
      </w:r>
    </w:p>
    <w:p w:rsidR="006446CB" w:rsidRDefault="006446CB">
      <w:r>
        <w:t>Таблица 2.</w:t>
      </w:r>
    </w:p>
    <w:p w:rsidR="006446CB" w:rsidRDefault="006446CB">
      <w:r>
        <w:t xml:space="preserve">Анализ себестоимости продукции СП ЗАО "МАЗ-МАН" за период 2005-2007 гг.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80"/>
        <w:gridCol w:w="725"/>
        <w:gridCol w:w="705"/>
        <w:gridCol w:w="726"/>
        <w:gridCol w:w="705"/>
        <w:gridCol w:w="716"/>
        <w:gridCol w:w="705"/>
        <w:gridCol w:w="727"/>
        <w:gridCol w:w="882"/>
        <w:gridCol w:w="727"/>
        <w:gridCol w:w="7"/>
        <w:gridCol w:w="766"/>
      </w:tblGrid>
      <w:tr w:rsidR="006446CB" w:rsidRPr="006446CB">
        <w:trPr>
          <w:cantSplit/>
          <w:trHeight w:val="541"/>
          <w:jc w:val="center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Наименование статей затрат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2005 год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2006 год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2007 год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Отклонение 2006 года от 2005 года</w:t>
            </w:r>
          </w:p>
        </w:tc>
        <w:tc>
          <w:tcPr>
            <w:tcW w:w="7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Отклонение 2007 года от 2006 года</w:t>
            </w:r>
          </w:p>
        </w:tc>
      </w:tr>
      <w:tr w:rsidR="006446CB" w:rsidRPr="006446CB">
        <w:trPr>
          <w:cantSplit/>
          <w:trHeight w:val="733"/>
          <w:jc w:val="center"/>
        </w:trPr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6CB" w:rsidRPr="006446CB" w:rsidRDefault="006446CB">
            <w:pPr>
              <w:pStyle w:val="ac"/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млн. р.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Уд. вес,%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млн. р.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Уд. вес,%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млн. р.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Уд. вес,%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млн. р.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Темп роста%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млн. р.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Темп роста%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1. Сырье и материалы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1595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15,37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3974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12,90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2379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9,84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2379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249,15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-1595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59,86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2. Покупные изделия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3984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38,40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14191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46,07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12172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50,34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10207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356, 20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-2019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85,77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3. Покупные полуфабрикаты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2722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26,24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5955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19,33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17,00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3233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218,77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69,03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Итого материальных затрат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8301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80,02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24120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78,30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18662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77,18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15819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290,57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-5458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77,37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4. Затраты на оплату труда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460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4,43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1584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5,14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1150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4,76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1124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344,35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-434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72,60</w:t>
            </w:r>
          </w:p>
        </w:tc>
      </w:tr>
      <w:tr w:rsidR="006446CB" w:rsidRPr="006446CB">
        <w:trPr>
          <w:trHeight w:val="557"/>
          <w:jc w:val="center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5. Отчисления на социальные нужды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160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1,54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551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1,79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399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1,65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391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344,38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-152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72,41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6. Амортизационные отчисления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229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0,74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242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211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1272,22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105,68</w:t>
            </w:r>
          </w:p>
        </w:tc>
      </w:tr>
      <w:tr w:rsidR="006446CB" w:rsidRPr="006446CB">
        <w:trPr>
          <w:trHeight w:val="55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7. Расходы на содержание оборудования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4,14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1424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4,62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1232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994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331,16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-192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86,52</w:t>
            </w:r>
          </w:p>
        </w:tc>
      </w:tr>
      <w:tr w:rsidR="006446CB" w:rsidRPr="006446CB">
        <w:trPr>
          <w:trHeight w:val="436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8. Цеховые расходы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2,81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1187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3,85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829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406,51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-358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69,84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ИТОГО: цеховая себестоимость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9661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93,13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29095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94,46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22514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93,11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19434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301,16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-6581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77,38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9. Общехозяйственные расходы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3,38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1245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4,04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1049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4,34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894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354,70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-196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84,26</w:t>
            </w:r>
          </w:p>
        </w:tc>
      </w:tr>
      <w:tr w:rsidR="006446CB" w:rsidRPr="006446CB">
        <w:trPr>
          <w:trHeight w:val="55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10. Прочие производственные расходы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173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0,56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221,79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73,99</w:t>
            </w:r>
          </w:p>
        </w:tc>
      </w:tr>
      <w:tr w:rsidR="006446CB" w:rsidRPr="006446CB">
        <w:trPr>
          <w:trHeight w:val="557"/>
          <w:jc w:val="center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11. Внепроизводствен-ные расходы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0,08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37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66,07</w:t>
            </w:r>
          </w:p>
        </w:tc>
      </w:tr>
      <w:tr w:rsidR="006446CB" w:rsidRPr="006446CB">
        <w:trPr>
          <w:trHeight w:val="362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ИТОГО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10098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97,34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30569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99,24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23728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98,13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20471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302,72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-6841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77,62</w:t>
            </w:r>
          </w:p>
        </w:tc>
      </w:tr>
      <w:tr w:rsidR="006446CB" w:rsidRPr="006446CB">
        <w:trPr>
          <w:trHeight w:val="28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12. Инновационный фонд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2,66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234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0,76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452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1,87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-42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84,78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218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193,16</w:t>
            </w:r>
          </w:p>
        </w:tc>
      </w:tr>
      <w:tr w:rsidR="006446CB" w:rsidRPr="006446CB">
        <w:trPr>
          <w:trHeight w:val="455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ВСЕГО: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10374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30803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24180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20429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296,93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-6623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78,50</w:t>
            </w:r>
          </w:p>
        </w:tc>
      </w:tr>
    </w:tbl>
    <w:p w:rsidR="006446CB" w:rsidRDefault="006446CB"/>
    <w:p w:rsidR="006446CB" w:rsidRDefault="006446CB">
      <w:pPr>
        <w:ind w:firstLine="0"/>
      </w:pPr>
      <w:r>
        <w:br w:type="page"/>
      </w:r>
      <w:r>
        <w:object w:dxaOrig="9135" w:dyaOrig="3855">
          <v:shape id="_x0000_i1026" type="#_x0000_t75" style="width:456.75pt;height:192.75pt" o:ole="">
            <v:imagedata r:id="rId9" o:title=""/>
          </v:shape>
          <o:OLEObject Type="Embed" ProgID="Excel.Sheet.8" ShapeID="_x0000_i1026" DrawAspect="Content" ObjectID="_1469734030" r:id="rId10">
            <o:FieldCodes>\s</o:FieldCodes>
          </o:OLEObject>
        </w:object>
      </w:r>
    </w:p>
    <w:p w:rsidR="006446CB" w:rsidRDefault="006446CB">
      <w:r>
        <w:t xml:space="preserve">Рис.2. Структура себестоимости выпускаемой продукции. </w:t>
      </w:r>
    </w:p>
    <w:p w:rsidR="006446CB" w:rsidRDefault="006446CB">
      <w:r>
        <w:t xml:space="preserve">Рассмотрев данные табл.2 и рис.2 можно с уверенностью сказать, что себестоимость реализуемой продукции изменяется динамично. В 2006 году себестоимость реализуемой продукции сложилась в размере 30 803 млн. р. По сравнению с аналогичным периодом прошлого года прирост составил 20 429 млн. р. или 196,93%. А в 2007 году себестоимость реализуемой продукции сложилась в размере 24 180 млн. р. По сравнению с аналогичным периодом прошлого года спад составил - 6623 млн. р. или 21,5%. </w:t>
      </w:r>
    </w:p>
    <w:p w:rsidR="006446CB" w:rsidRDefault="006446CB">
      <w:r>
        <w:t xml:space="preserve">Структура себестоимости реализуемой продукции в течение трех лет существенно не изменялась, основной удельный вес занимают материальные затраты (в 2005 г. – 80,02%, 2006г. – 78,30%, 2007 г. – 77,18%), однако, к концу исследуемого периода наблюдается их спад на 1,12%. Проанализировав материальные затраты, хочу отметить, что наблюдается снижение удельного веса сырья и материалов на 5,53% (с 15,37% в 2005 г. до 9,84% в 2007 г) и покупных полуфабрикатов на 9,24% (с 26,24% в 2005г. до 17,00% в 2007 г) и увеличения покупных изделий на 11,94% (с 38,40% в 2005 г. до 50,34% в 2007 г). На основании вышеизложенного можно с уверенностью сказать, что автомобили – изготовляемая продукция является материалоемкой, что указывает на зависимость предприятия от поставщиков. Снижение себестоимости продукции означает экономию овеществленного и живого труда и является важнейшим фактором повышения эффективности производства, роста накоплений. На предприятии ведется систематическая работа по разработке мероприятий, направленных на ее снижение. </w:t>
      </w:r>
    </w:p>
    <w:p w:rsidR="006446CB" w:rsidRDefault="006446CB"/>
    <w:p w:rsidR="006446CB" w:rsidRDefault="006446CB">
      <w:pPr>
        <w:pStyle w:val="2"/>
      </w:pPr>
      <w:r>
        <w:t xml:space="preserve">3. Анализ финансовых показателей </w:t>
      </w:r>
    </w:p>
    <w:p w:rsidR="006446CB" w:rsidRDefault="006446CB"/>
    <w:p w:rsidR="006446CB" w:rsidRDefault="006446CB">
      <w:r>
        <w:t xml:space="preserve">Анализ финансового состояния предприятия проводится по итогам года, а также ежемесячно для корректировки финансовой политики. Основными документами для оценки являются баланс и отчет о прибылях и убытках. </w:t>
      </w:r>
    </w:p>
    <w:p w:rsidR="006446CB" w:rsidRDefault="006446CB">
      <w:r>
        <w:t xml:space="preserve">Рассмотрим финансовое положение СП ЗАО "МАЗ-МАН" за 2005–2007 годы для этого воспользуемся балансом и отчетом о прибылях и убытках предприятия за последние три года. </w:t>
      </w:r>
    </w:p>
    <w:p w:rsidR="006446CB" w:rsidRDefault="006446CB">
      <w:r>
        <w:t xml:space="preserve">Таблица 3. </w:t>
      </w:r>
    </w:p>
    <w:p w:rsidR="006446CB" w:rsidRDefault="006446CB">
      <w:r>
        <w:t xml:space="preserve">Анализ финансового состояния СП ЗАО "МАЗ-МАН" за период 2005-2007 гг., млн. р.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3"/>
        <w:gridCol w:w="2534"/>
        <w:gridCol w:w="934"/>
        <w:gridCol w:w="934"/>
        <w:gridCol w:w="867"/>
        <w:gridCol w:w="1091"/>
        <w:gridCol w:w="1078"/>
      </w:tblGrid>
      <w:tr w:rsidR="006446CB" w:rsidRPr="006446CB">
        <w:trPr>
          <w:cantSplit/>
          <w:trHeight w:val="278"/>
          <w:jc w:val="center"/>
        </w:trPr>
        <w:tc>
          <w:tcPr>
            <w:tcW w:w="1114" w:type="pct"/>
            <w:vMerge w:val="restart"/>
          </w:tcPr>
          <w:p w:rsidR="006446CB" w:rsidRPr="006446CB" w:rsidRDefault="006446CB">
            <w:pPr>
              <w:pStyle w:val="ac"/>
            </w:pPr>
            <w:r w:rsidRPr="006446CB">
              <w:t>Показатели</w:t>
            </w:r>
          </w:p>
        </w:tc>
        <w:tc>
          <w:tcPr>
            <w:tcW w:w="1324" w:type="pct"/>
            <w:vMerge w:val="restart"/>
          </w:tcPr>
          <w:p w:rsidR="006446CB" w:rsidRPr="006446CB" w:rsidRDefault="006446CB">
            <w:pPr>
              <w:pStyle w:val="ac"/>
            </w:pPr>
            <w:r w:rsidRPr="006446CB">
              <w:t>Формула расчета</w:t>
            </w:r>
          </w:p>
        </w:tc>
        <w:tc>
          <w:tcPr>
            <w:tcW w:w="488" w:type="pct"/>
            <w:vMerge w:val="restart"/>
          </w:tcPr>
          <w:p w:rsidR="006446CB" w:rsidRPr="006446CB" w:rsidRDefault="006446CB">
            <w:pPr>
              <w:pStyle w:val="ac"/>
            </w:pPr>
            <w:r w:rsidRPr="006446CB">
              <w:t xml:space="preserve">2005 г. </w:t>
            </w:r>
          </w:p>
        </w:tc>
        <w:tc>
          <w:tcPr>
            <w:tcW w:w="488" w:type="pct"/>
            <w:vMerge w:val="restart"/>
          </w:tcPr>
          <w:p w:rsidR="006446CB" w:rsidRPr="006446CB" w:rsidRDefault="006446CB">
            <w:pPr>
              <w:pStyle w:val="ac"/>
            </w:pPr>
            <w:r w:rsidRPr="006446CB">
              <w:t xml:space="preserve">2006 г. </w:t>
            </w:r>
          </w:p>
        </w:tc>
        <w:tc>
          <w:tcPr>
            <w:tcW w:w="453" w:type="pct"/>
            <w:vMerge w:val="restart"/>
          </w:tcPr>
          <w:p w:rsidR="006446CB" w:rsidRPr="006446CB" w:rsidRDefault="006446CB">
            <w:pPr>
              <w:pStyle w:val="ac"/>
            </w:pPr>
            <w:r w:rsidRPr="006446CB">
              <w:t xml:space="preserve">2007г. </w:t>
            </w:r>
          </w:p>
        </w:tc>
        <w:tc>
          <w:tcPr>
            <w:tcW w:w="1133" w:type="pct"/>
            <w:gridSpan w:val="2"/>
          </w:tcPr>
          <w:p w:rsidR="006446CB" w:rsidRPr="006446CB" w:rsidRDefault="006446CB">
            <w:pPr>
              <w:pStyle w:val="ac"/>
            </w:pPr>
            <w:r w:rsidRPr="006446CB">
              <w:t>Изменение</w:t>
            </w:r>
          </w:p>
        </w:tc>
      </w:tr>
      <w:tr w:rsidR="006446CB" w:rsidRPr="006446CB">
        <w:trPr>
          <w:cantSplit/>
          <w:trHeight w:val="277"/>
          <w:jc w:val="center"/>
        </w:trPr>
        <w:tc>
          <w:tcPr>
            <w:tcW w:w="1114" w:type="pct"/>
            <w:vMerge/>
          </w:tcPr>
          <w:p w:rsidR="006446CB" w:rsidRPr="006446CB" w:rsidRDefault="006446CB">
            <w:pPr>
              <w:pStyle w:val="ac"/>
            </w:pPr>
          </w:p>
        </w:tc>
        <w:tc>
          <w:tcPr>
            <w:tcW w:w="1324" w:type="pct"/>
            <w:vMerge/>
          </w:tcPr>
          <w:p w:rsidR="006446CB" w:rsidRPr="006446CB" w:rsidRDefault="006446CB">
            <w:pPr>
              <w:pStyle w:val="ac"/>
            </w:pPr>
          </w:p>
        </w:tc>
        <w:tc>
          <w:tcPr>
            <w:tcW w:w="488" w:type="pct"/>
            <w:vMerge/>
          </w:tcPr>
          <w:p w:rsidR="006446CB" w:rsidRPr="006446CB" w:rsidRDefault="006446CB">
            <w:pPr>
              <w:pStyle w:val="ac"/>
            </w:pPr>
          </w:p>
        </w:tc>
        <w:tc>
          <w:tcPr>
            <w:tcW w:w="488" w:type="pct"/>
            <w:vMerge/>
          </w:tcPr>
          <w:p w:rsidR="006446CB" w:rsidRPr="006446CB" w:rsidRDefault="006446CB">
            <w:pPr>
              <w:pStyle w:val="ac"/>
            </w:pPr>
          </w:p>
        </w:tc>
        <w:tc>
          <w:tcPr>
            <w:tcW w:w="453" w:type="pct"/>
            <w:vMerge/>
          </w:tcPr>
          <w:p w:rsidR="006446CB" w:rsidRPr="006446CB" w:rsidRDefault="006446CB">
            <w:pPr>
              <w:pStyle w:val="ac"/>
            </w:pPr>
          </w:p>
        </w:tc>
        <w:tc>
          <w:tcPr>
            <w:tcW w:w="570" w:type="pct"/>
          </w:tcPr>
          <w:p w:rsidR="006446CB" w:rsidRPr="006446CB" w:rsidRDefault="006446CB">
            <w:pPr>
              <w:pStyle w:val="ac"/>
            </w:pPr>
            <w:r w:rsidRPr="006446CB">
              <w:t xml:space="preserve">2006г. к 2005 г. </w:t>
            </w:r>
          </w:p>
        </w:tc>
        <w:tc>
          <w:tcPr>
            <w:tcW w:w="563" w:type="pct"/>
          </w:tcPr>
          <w:p w:rsidR="006446CB" w:rsidRPr="006446CB" w:rsidRDefault="006446CB">
            <w:pPr>
              <w:pStyle w:val="ac"/>
            </w:pPr>
            <w:r w:rsidRPr="006446CB">
              <w:t xml:space="preserve">2007г. к 2006 г. 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</w:tcPr>
          <w:p w:rsidR="006446CB" w:rsidRPr="006446CB" w:rsidRDefault="006446CB">
            <w:pPr>
              <w:pStyle w:val="ac"/>
            </w:pPr>
            <w:r w:rsidRPr="006446CB">
              <w:t>1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Выручка от реализации продукции (без налогов из выручки) 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13270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36797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31040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277,29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84,35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Объём производства товарной продукции (без налогов) 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17884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38694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47140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216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122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Удельный вес новой продукции в общем объеме производства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3,1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11,1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15,8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358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142</w:t>
            </w:r>
          </w:p>
        </w:tc>
      </w:tr>
      <w:tr w:rsidR="006446CB" w:rsidRPr="006446CB">
        <w:trPr>
          <w:trHeight w:val="367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Активы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10475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23003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24921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219,60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108,34</w:t>
            </w:r>
          </w:p>
        </w:tc>
      </w:tr>
      <w:tr w:rsidR="006446CB" w:rsidRPr="006446CB">
        <w:trPr>
          <w:trHeight w:val="529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Основные средства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4553,5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8591,5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5021,5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188,68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58,45</w:t>
            </w:r>
          </w:p>
        </w:tc>
      </w:tr>
      <w:tr w:rsidR="006446CB" w:rsidRPr="006446CB">
        <w:trPr>
          <w:trHeight w:val="537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Оборотный капитал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5877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14367,5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19863,5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244,47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138,25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Легкореализуемые активы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1339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4862,5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8416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363,14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173,08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Дебиторская задолженность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1181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3763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7408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318,76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196,85</w:t>
            </w:r>
          </w:p>
        </w:tc>
      </w:tr>
      <w:tr w:rsidR="006446CB" w:rsidRPr="006446CB">
        <w:trPr>
          <w:trHeight w:val="395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Денежные средства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61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1050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1009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1720,49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96,09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Собственный капитал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6715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13352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18063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198,85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135,29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Краткосрочная задолженность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3759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9650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6828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256,72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70,76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Среднегодовая численность ППП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1619 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1443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1385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89,1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96,0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В том числе рабочих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688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634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558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92,2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88,0</w:t>
            </w:r>
          </w:p>
        </w:tc>
      </w:tr>
    </w:tbl>
    <w:p w:rsidR="006446CB" w:rsidRDefault="006446CB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  <w:t>Продолжение таблицы.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3"/>
        <w:gridCol w:w="2534"/>
        <w:gridCol w:w="934"/>
        <w:gridCol w:w="934"/>
        <w:gridCol w:w="867"/>
        <w:gridCol w:w="1091"/>
        <w:gridCol w:w="1078"/>
      </w:tblGrid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Удельный вес рабочих в общей численности работающих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42,5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43,9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40,3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103,3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91,8</w:t>
            </w:r>
          </w:p>
        </w:tc>
      </w:tr>
      <w:tr w:rsidR="006446CB" w:rsidRPr="006446CB">
        <w:trPr>
          <w:trHeight w:val="221"/>
          <w:jc w:val="center"/>
        </w:trPr>
        <w:tc>
          <w:tcPr>
            <w:tcW w:w="5000" w:type="pct"/>
            <w:gridSpan w:val="7"/>
          </w:tcPr>
          <w:p w:rsidR="006446CB" w:rsidRPr="006446CB" w:rsidRDefault="006446CB">
            <w:pPr>
              <w:pStyle w:val="ac"/>
            </w:pPr>
            <w:r w:rsidRPr="006446CB">
              <w:t>Анализ платежеспособности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Финансовая </w:t>
            </w:r>
          </w:p>
          <w:p w:rsidR="006446CB" w:rsidRPr="006446CB" w:rsidRDefault="006446CB">
            <w:pPr>
              <w:pStyle w:val="ac"/>
            </w:pPr>
            <w:r w:rsidRPr="006446CB">
              <w:t xml:space="preserve">независимость (&lt;0,5) 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Собственный капитал Активы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0,64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0,58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0,72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-0,06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0,14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Ликвидность текущая (К1≥1,7) 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Оборотный капитал Краткосрочную задолженность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1,56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1,49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2,91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-0,07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1,42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Ликвидность быстрая (&lt;1) 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Легкореализуемые активы </w:t>
            </w:r>
          </w:p>
          <w:p w:rsidR="006446CB" w:rsidRPr="006446CB" w:rsidRDefault="006446CB">
            <w:pPr>
              <w:pStyle w:val="ac"/>
            </w:pPr>
            <w:r w:rsidRPr="006446CB">
              <w:t>Краткосрочную задолженность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0,36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0,50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1,23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0,15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0,73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Ликвидность абсолютная (&lt;0,08) 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Денежные средства Краткосрочную задолженность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0,02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0,11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0,15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0,09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0,04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Деловая активность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 xml:space="preserve">Объем продаж </w:t>
            </w:r>
          </w:p>
          <w:p w:rsidR="006446CB" w:rsidRPr="006446CB" w:rsidRDefault="006446CB">
            <w:pPr>
              <w:pStyle w:val="ac"/>
            </w:pPr>
            <w:r w:rsidRPr="006446CB">
              <w:t>Активы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1,27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1,60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1,25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0,33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-0,35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Удельный вес дебиторской задолженности в оборотном капитале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Дебиторская задолженность Оборотный капитал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0, 20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0,26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0,37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0,06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0,11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5000" w:type="pct"/>
            <w:gridSpan w:val="7"/>
          </w:tcPr>
          <w:p w:rsidR="006446CB" w:rsidRPr="006446CB" w:rsidRDefault="006446CB">
            <w:pPr>
              <w:pStyle w:val="ac"/>
            </w:pPr>
            <w:r w:rsidRPr="006446CB">
              <w:t>Анализ эффективности использования ресурсов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Недвижимость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Основные средства Активы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0,43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0,37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0, 20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-0,06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-0,17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Движимость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Оборотные средства Активы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0,56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0,62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0,80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0,06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0,17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Коэффициент оборачиваемости оборотных средств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Объем реализ. продукции Средний остаток ОС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2,26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2,56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1,56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0,30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-1,00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Длительность одного оборота оборотных средств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Средний остаток ОС*365</w:t>
            </w:r>
          </w:p>
          <w:p w:rsidR="006446CB" w:rsidRPr="006446CB" w:rsidRDefault="006446CB">
            <w:pPr>
              <w:pStyle w:val="ac"/>
            </w:pPr>
            <w:r w:rsidRPr="006446CB">
              <w:t xml:space="preserve">Объем реализ. продукции 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161,65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142,52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233,58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-19,14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91,06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Фондоотдача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Объем товарной продукции Среднегодовая стоимость ОФ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2,91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4,28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6,18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1,37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1,90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Среднегодовая выработка одного работника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Объем произв. продукции Среднегодовую числ. ППП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11,05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26,81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34,04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15,77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7,22</w:t>
            </w:r>
          </w:p>
        </w:tc>
      </w:tr>
      <w:tr w:rsidR="006446CB" w:rsidRPr="006446CB">
        <w:trPr>
          <w:trHeight w:val="63"/>
          <w:jc w:val="center"/>
        </w:trPr>
        <w:tc>
          <w:tcPr>
            <w:tcW w:w="111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Среднегодовая выработка одного рабочего</w:t>
            </w:r>
          </w:p>
        </w:tc>
        <w:tc>
          <w:tcPr>
            <w:tcW w:w="1324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Объем произв. продукции Среднегодовую числ. рабочих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25,99</w:t>
            </w:r>
          </w:p>
        </w:tc>
        <w:tc>
          <w:tcPr>
            <w:tcW w:w="488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61,03</w:t>
            </w:r>
          </w:p>
        </w:tc>
        <w:tc>
          <w:tcPr>
            <w:tcW w:w="45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84,48</w:t>
            </w:r>
          </w:p>
        </w:tc>
        <w:tc>
          <w:tcPr>
            <w:tcW w:w="570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35,04</w:t>
            </w:r>
          </w:p>
        </w:tc>
        <w:tc>
          <w:tcPr>
            <w:tcW w:w="563" w:type="pct"/>
            <w:vAlign w:val="center"/>
          </w:tcPr>
          <w:p w:rsidR="006446CB" w:rsidRPr="006446CB" w:rsidRDefault="006446CB">
            <w:pPr>
              <w:pStyle w:val="ac"/>
            </w:pPr>
            <w:r w:rsidRPr="006446CB">
              <w:t>23,45</w:t>
            </w:r>
          </w:p>
        </w:tc>
      </w:tr>
    </w:tbl>
    <w:p w:rsidR="006446CB" w:rsidRDefault="006446CB">
      <w:pPr>
        <w:rPr>
          <w:sz w:val="20"/>
          <w:szCs w:val="20"/>
        </w:rPr>
      </w:pPr>
    </w:p>
    <w:p w:rsidR="006446CB" w:rsidRDefault="006446CB">
      <w:pPr>
        <w:rPr>
          <w:sz w:val="20"/>
          <w:szCs w:val="20"/>
        </w:rPr>
      </w:pPr>
      <w:r>
        <w:rPr>
          <w:sz w:val="20"/>
          <w:szCs w:val="20"/>
        </w:rPr>
        <w:t xml:space="preserve">Финансовое состояние СП ЗАО "МАЗ-МАН" в течение исследуемого периода можно охарактеризовать как удовлетворительное. Наблюдается динамичность изменения практически всех показателей. Наиболее эффективный - 2006 год, в котором наблюдается как увеличение выручки от реализации продукции на 177,29% по сравнению с 2005 годом, так и увеличение активов на 119,6% в основном за счет увеличения оборотных средств. </w:t>
      </w:r>
    </w:p>
    <w:p w:rsidR="006446CB" w:rsidRDefault="006446CB">
      <w:pPr>
        <w:rPr>
          <w:sz w:val="20"/>
          <w:szCs w:val="20"/>
        </w:rPr>
      </w:pPr>
      <w:r>
        <w:rPr>
          <w:sz w:val="20"/>
          <w:szCs w:val="20"/>
        </w:rPr>
        <w:t xml:space="preserve">Анализ показателей платежеспособности показал, что СП ЗАО "МАЗ-МАН" достаточно финансово независим (данный показатель находится в пределах 0,64-0,72) и платежеспособен, хотя в 2005-2007 годах наблюдается нехватка оборотных средств, но в 2007 году положение улучшилось. Наблюдается увеличение удельного веса дебиторской задолженности с 0, 20 в 2004 году до 0,37 в 2007 г., что негативно сказывается на платежеспособности предприятия. Краткосрочные обязательства могут выполняться в срок: быстрая ликвидность близится к единице, а в 2007 году – 1,23, а абсолютная ликвидность вполне достаточна для осуществления текущих платежей. Исследование платежеспособности показывает, что четко прослеживается положительная тенденция в улучшении структуры капитала. Однако наблюдается замедление оборачиваемости оборотных средств на 0,7 оборота (с 2,26 оборота в 2005 году до 1,56 оборота в 2007 году) из-за увеличения дебиторской задолженности и остатков нереализуемой продукции. </w:t>
      </w:r>
    </w:p>
    <w:p w:rsidR="006446CB" w:rsidRDefault="006446CB">
      <w:pPr>
        <w:rPr>
          <w:sz w:val="20"/>
          <w:szCs w:val="20"/>
        </w:rPr>
      </w:pPr>
      <w:r>
        <w:rPr>
          <w:sz w:val="20"/>
          <w:szCs w:val="20"/>
        </w:rPr>
        <w:t xml:space="preserve">Для оценки уровня интенсивности использования персонала предприятия рассмотрим обобщающий показатель – среднегодовую выработку одного работника. Анализ показал, что за исследуемые три года на предприятии наметилось увеличение данного показателя как для всего промышленно-производственного персонала, так и для рабочих. Так, к примеру, среднегодовая выработка одного работника за три года увеличилась на 208% с 11,05 млн. р. в 2005 году до 34,04 млн. р., данное увеличение выработки связано с ростом производимой продукции и сокращением численности персонала. </w:t>
      </w:r>
    </w:p>
    <w:p w:rsidR="006446CB" w:rsidRDefault="006446CB">
      <w:pPr>
        <w:pStyle w:val="1"/>
      </w:pPr>
      <w:r>
        <w:br w:type="page"/>
        <w:t>ЛИТЕРАТУРА</w:t>
      </w:r>
    </w:p>
    <w:p w:rsidR="006446CB" w:rsidRDefault="006446CB"/>
    <w:p w:rsidR="006446CB" w:rsidRDefault="006446CB">
      <w:pPr>
        <w:pStyle w:val="a0"/>
      </w:pPr>
      <w:r>
        <w:t xml:space="preserve">Совместные предприятия в практике международных экономических отношений. - М.: Внешторгиздат, 2008. – 119 с. </w:t>
      </w:r>
    </w:p>
    <w:p w:rsidR="006446CB" w:rsidRDefault="006446CB">
      <w:pPr>
        <w:pStyle w:val="a0"/>
      </w:pPr>
      <w:r>
        <w:t xml:space="preserve">Совместное предприятие и другие формы организации совместного бизнеса // Межд. бизнес. 2005. №9. с.17-18. </w:t>
      </w:r>
    </w:p>
    <w:p w:rsidR="006446CB" w:rsidRDefault="006446CB">
      <w:pPr>
        <w:pStyle w:val="a0"/>
      </w:pPr>
      <w:r>
        <w:t xml:space="preserve">Соркин, С.Л. Внешнеэкономическая деятельность предприятия: Курс лекций. - Гродно: Изд-во Грод. филиала негос. ин-та совр. знаний, 2008. – 309 с. </w:t>
      </w:r>
    </w:p>
    <w:p w:rsidR="006446CB" w:rsidRDefault="006446CB">
      <w:pPr>
        <w:pStyle w:val="a0"/>
      </w:pPr>
      <w:r>
        <w:t xml:space="preserve">Статистический бюллетень за 2007 г. / Министерство статистики и анализа РБ. – Минск, 2008. – 50 с. </w:t>
      </w:r>
    </w:p>
    <w:p w:rsidR="006446CB" w:rsidRDefault="006446CB">
      <w:bookmarkStart w:id="0" w:name="_GoBack"/>
      <w:bookmarkEnd w:id="0"/>
    </w:p>
    <w:sectPr w:rsidR="006446C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CB" w:rsidRDefault="006446CB">
      <w:pPr>
        <w:spacing w:line="240" w:lineRule="auto"/>
      </w:pPr>
      <w:r>
        <w:separator/>
      </w:r>
    </w:p>
  </w:endnote>
  <w:endnote w:type="continuationSeparator" w:id="0">
    <w:p w:rsidR="006446CB" w:rsidRDefault="00644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CB" w:rsidRDefault="006446C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CB" w:rsidRDefault="006446C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CB" w:rsidRDefault="006446CB">
      <w:pPr>
        <w:spacing w:line="240" w:lineRule="auto"/>
      </w:pPr>
      <w:r>
        <w:separator/>
      </w:r>
    </w:p>
  </w:footnote>
  <w:footnote w:type="continuationSeparator" w:id="0">
    <w:p w:rsidR="006446CB" w:rsidRDefault="00644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CB" w:rsidRDefault="006446CB">
    <w:pPr>
      <w:pStyle w:val="a5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A196C">
      <w:rPr>
        <w:rStyle w:val="af2"/>
      </w:rPr>
      <w:t>2</w:t>
    </w:r>
    <w:r>
      <w:rPr>
        <w:rStyle w:val="af2"/>
      </w:rPr>
      <w:fldChar w:fldCharType="end"/>
    </w:r>
  </w:p>
  <w:p w:rsidR="006446CB" w:rsidRDefault="006446C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CB" w:rsidRDefault="006446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336"/>
    <w:multiLevelType w:val="singleLevel"/>
    <w:tmpl w:val="4E06C35A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1">
    <w:nsid w:val="43C343F3"/>
    <w:multiLevelType w:val="hybridMultilevel"/>
    <w:tmpl w:val="10F03FCC"/>
    <w:lvl w:ilvl="0" w:tplc="9A7ACD2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51961F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>
    <w:nsid w:val="66D1302E"/>
    <w:multiLevelType w:val="hybridMultilevel"/>
    <w:tmpl w:val="37FAC9D0"/>
    <w:lvl w:ilvl="0" w:tplc="9A7ACD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85CFE"/>
    <w:multiLevelType w:val="multilevel"/>
    <w:tmpl w:val="9C8085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DD34BEA"/>
    <w:multiLevelType w:val="singleLevel"/>
    <w:tmpl w:val="FBE2D46A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96C"/>
    <w:rsid w:val="00017F9C"/>
    <w:rsid w:val="006446CB"/>
    <w:rsid w:val="00691ECD"/>
    <w:rsid w:val="007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1903458D-FCF3-48B1-A475-E6F19B1F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pPr>
      <w:keepNext/>
      <w:ind w:firstLine="0"/>
      <w:jc w:val="center"/>
      <w:outlineLvl w:val="3"/>
    </w:pPr>
    <w:rPr>
      <w:i/>
      <w:iCs/>
      <w:smallCaps/>
      <w:noProof/>
    </w:rPr>
  </w:style>
  <w:style w:type="paragraph" w:styleId="5">
    <w:name w:val="heading 5"/>
    <w:basedOn w:val="a1"/>
    <w:next w:val="a1"/>
    <w:link w:val="50"/>
    <w:uiPriority w:val="99"/>
    <w:qFormat/>
    <w:pPr>
      <w:keepNext/>
      <w:ind w:left="1440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1"/>
    <w:next w:val="a1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21">
    <w:name w:val="Body Text 2"/>
    <w:basedOn w:val="a1"/>
    <w:link w:val="22"/>
    <w:uiPriority w:val="99"/>
    <w:rPr>
      <w:sz w:val="27"/>
      <w:szCs w:val="27"/>
    </w:rPr>
  </w:style>
  <w:style w:type="character" w:customStyle="1" w:styleId="22">
    <w:name w:val="Основний текст 2 Знак"/>
    <w:link w:val="21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1"/>
    <w:link w:val="24"/>
    <w:uiPriority w:val="99"/>
    <w:pPr>
      <w:ind w:firstLine="567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1"/>
    <w:link w:val="32"/>
    <w:uiPriority w:val="99"/>
    <w:pPr>
      <w:widowControl w:val="0"/>
      <w:ind w:firstLine="567"/>
    </w:pPr>
    <w:rPr>
      <w:color w:val="FF0000"/>
    </w:rPr>
  </w:style>
  <w:style w:type="character" w:customStyle="1" w:styleId="32">
    <w:name w:val="Основний текст з від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header"/>
    <w:basedOn w:val="a1"/>
    <w:next w:val="a6"/>
    <w:link w:val="a7"/>
    <w:uiPriority w:val="99"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7">
    <w:name w:val="Верхній колонтитул Знак"/>
    <w:link w:val="a5"/>
    <w:uiPriority w:val="99"/>
    <w:rPr>
      <w:kern w:val="16"/>
      <w:sz w:val="24"/>
      <w:szCs w:val="24"/>
    </w:rPr>
  </w:style>
  <w:style w:type="paragraph" w:styleId="a6">
    <w:name w:val="Body Text"/>
    <w:basedOn w:val="a1"/>
    <w:link w:val="a8"/>
    <w:uiPriority w:val="99"/>
  </w:style>
  <w:style w:type="character" w:customStyle="1" w:styleId="a8">
    <w:name w:val="Основний текст Знак"/>
    <w:link w:val="a6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a9">
    <w:name w:val="выделение"/>
    <w:uiPriority w:val="9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pPr>
      <w:jc w:val="left"/>
    </w:pPr>
    <w:rPr>
      <w:b/>
      <w:bCs/>
      <w:caps/>
    </w:rPr>
  </w:style>
  <w:style w:type="paragraph" w:styleId="25">
    <w:name w:val="toc 2"/>
    <w:basedOn w:val="a1"/>
    <w:next w:val="a1"/>
    <w:autoRedefine/>
    <w:uiPriority w:val="99"/>
    <w:pPr>
      <w:ind w:left="278"/>
      <w:jc w:val="left"/>
    </w:pPr>
    <w:rPr>
      <w:smallCaps/>
    </w:rPr>
  </w:style>
  <w:style w:type="paragraph" w:styleId="33">
    <w:name w:val="toc 3"/>
    <w:basedOn w:val="a1"/>
    <w:next w:val="a1"/>
    <w:autoRedefine/>
    <w:uiPriority w:val="99"/>
    <w:pPr>
      <w:ind w:left="561"/>
      <w:jc w:val="left"/>
    </w:pPr>
    <w:rPr>
      <w:i/>
      <w:iCs/>
    </w:rPr>
  </w:style>
  <w:style w:type="paragraph" w:customStyle="1" w:styleId="a">
    <w:name w:val="список ненумерованный"/>
    <w:uiPriority w:val="99"/>
    <w:pPr>
      <w:numPr>
        <w:numId w:val="5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0">
    <w:name w:val="список нумерованный"/>
    <w:uiPriority w:val="99"/>
    <w:pPr>
      <w:numPr>
        <w:numId w:val="6"/>
      </w:numPr>
      <w:tabs>
        <w:tab w:val="num" w:pos="1276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b">
    <w:name w:val="схема"/>
    <w:uiPriority w:val="99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c">
    <w:name w:val="ТАБЛИЦА"/>
    <w:uiPriority w:val="99"/>
    <w:pPr>
      <w:jc w:val="center"/>
    </w:pPr>
    <w:rPr>
      <w:rFonts w:ascii="Times New Roman" w:hAnsi="Times New Roman"/>
    </w:rPr>
  </w:style>
  <w:style w:type="paragraph" w:styleId="ad">
    <w:name w:val="footnote text"/>
    <w:basedOn w:val="a1"/>
    <w:link w:val="ae"/>
    <w:uiPriority w:val="99"/>
  </w:style>
  <w:style w:type="character" w:customStyle="1" w:styleId="ae">
    <w:name w:val="Текст виноски Знак"/>
    <w:link w:val="ad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af">
    <w:name w:val="титут"/>
    <w:uiPriority w:val="9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f2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_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2014-08-16T19:41:00Z</dcterms:created>
  <dcterms:modified xsi:type="dcterms:W3CDTF">2014-08-16T19:41:00Z</dcterms:modified>
</cp:coreProperties>
</file>