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0D" w:rsidRPr="002E722F" w:rsidRDefault="0014540D" w:rsidP="00CE2AA9">
      <w:pPr>
        <w:spacing w:after="0" w:line="360" w:lineRule="auto"/>
        <w:ind w:firstLine="709"/>
        <w:jc w:val="both"/>
        <w:rPr>
          <w:szCs w:val="44"/>
        </w:rPr>
      </w:pPr>
      <w:r w:rsidRPr="002E722F">
        <w:rPr>
          <w:szCs w:val="44"/>
        </w:rPr>
        <w:t>План работы</w:t>
      </w:r>
    </w:p>
    <w:p w:rsidR="0014540D" w:rsidRPr="002E722F" w:rsidRDefault="0014540D" w:rsidP="00CE2AA9">
      <w:pPr>
        <w:spacing w:after="0" w:line="360" w:lineRule="auto"/>
        <w:ind w:firstLine="709"/>
        <w:jc w:val="both"/>
        <w:rPr>
          <w:szCs w:val="28"/>
        </w:rPr>
      </w:pP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Введение</w:t>
      </w: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1. Значение и задачи аудита</w:t>
      </w: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2. Нормативное регулирование</w:t>
      </w: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2.1. Нормативное регулирование аудиторской деятельности</w:t>
      </w: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2.2. Нормативное регулирование</w:t>
      </w: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3. Информация аудируемого лица, необходимая для проверки</w:t>
      </w: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4. Оценка системы внутреннего контроля аудируемого лица</w:t>
      </w: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5. Определение существенности и аудиторского риска</w:t>
      </w: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5.1.Определение существенности</w:t>
      </w: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5.2. Определение аудиторского риска</w:t>
      </w: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6. Разработка общего плана аудита</w:t>
      </w: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7. Разработка программы аудита</w:t>
      </w: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Заключение</w:t>
      </w:r>
    </w:p>
    <w:p w:rsidR="0014540D" w:rsidRPr="002E722F" w:rsidRDefault="0014540D" w:rsidP="00633BC6">
      <w:pPr>
        <w:spacing w:after="0" w:line="360" w:lineRule="auto"/>
        <w:ind w:firstLine="0"/>
        <w:jc w:val="both"/>
        <w:rPr>
          <w:szCs w:val="28"/>
        </w:rPr>
      </w:pPr>
      <w:r w:rsidRPr="002E722F">
        <w:rPr>
          <w:szCs w:val="28"/>
        </w:rPr>
        <w:t>Список литературы</w:t>
      </w:r>
    </w:p>
    <w:p w:rsidR="0014540D" w:rsidRPr="002E722F" w:rsidRDefault="0014540D" w:rsidP="00CE2AA9">
      <w:pPr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14540D" w:rsidP="00CE2AA9">
      <w:pPr>
        <w:spacing w:after="0" w:line="360" w:lineRule="auto"/>
        <w:ind w:firstLine="709"/>
        <w:jc w:val="both"/>
        <w:rPr>
          <w:szCs w:val="72"/>
        </w:rPr>
      </w:pPr>
      <w:r w:rsidRPr="002E722F">
        <w:rPr>
          <w:szCs w:val="72"/>
        </w:rPr>
        <w:br w:type="page"/>
      </w:r>
      <w:r w:rsidR="00436D2D" w:rsidRPr="002E722F">
        <w:rPr>
          <w:szCs w:val="72"/>
        </w:rPr>
        <w:t>Введение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Внешнеэкономическая деятельность является неотъемлемой частью экономики любой страны и развивается по двум основным направлениям: торговля и инвестиции. Традиционно приоритетным направлением внешнеэкономической деятельности считается экспорт, так как он непосредственно связан с притоком иностранного капитала в страну и получением дохода конкретным предприятием-экспортером. Однако в последнее время значительно расширилось влияние на экономику России импортных операций как составляющей части внешнеэкономической деятельности. Так, в сфере торговли ввоз импортной продукции способствует развитию конкуренции среди отечественных товаропроизводителей и товаров импортного производства; ввоз сырья, полуфабрикатов и материалов обеспечивает интеграцию импорта в промышленное производство России; иностранные инвестиции в экономику страны осуществляются в виде поступления кредитов и займов или денежных и основных средств для развития совместных предприятий. Стоит также заметить, что с точки зрения предприятия-импортера импортная сделка не является итоговой операцией: так же как и у экспортеров, конечная цель импорта - это получение прибыли конкретным предприятием. Таким образом, при принятии решения об импорте товаров, работ или услуг предполагается получение в дальнейшем прибыли, например от перепродажи товаров или от реализации собственной продукции, изготовленной с использованием иностранного сырья и т.п.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Интеграция импортных операций наряду с положительным эффектом выявила и ряд сложных проблем. Так, на практике отечественные предприятия и организации столкнулись с тем, что внешнеэкономическая деятельность несет в себе повышенную долю рисков в силу ее особенностей. Практика аудиторских проверок показала, что импортеры несут убытки из-за недостаточного контроля за различного рода рисками: валютным, коммерческим, финансовым и т.д. В этой связи актуальным является вопрос правильного отражения импортной сделки, так как она является основой для формирования себестоимости продукции (работ, услуг) и в конечном счете напрямую повлияет на прибыль предприятия.</w:t>
      </w:r>
    </w:p>
    <w:p w:rsidR="00436D2D" w:rsidRPr="002E722F" w:rsidRDefault="00D86029" w:rsidP="00CE2AA9">
      <w:pPr>
        <w:spacing w:after="0" w:line="360" w:lineRule="auto"/>
        <w:ind w:firstLine="709"/>
        <w:jc w:val="both"/>
        <w:rPr>
          <w:szCs w:val="44"/>
        </w:rPr>
      </w:pPr>
      <w:r w:rsidRPr="002E722F">
        <w:rPr>
          <w:szCs w:val="44"/>
        </w:rPr>
        <w:br w:type="page"/>
      </w:r>
      <w:r w:rsidR="00436D2D" w:rsidRPr="002E722F">
        <w:rPr>
          <w:szCs w:val="44"/>
        </w:rPr>
        <w:t>1. Значение и задачи аудита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 xml:space="preserve">Таким образом, для успешного проведения импортных операций на предприятии от персонала требуется высокий профессионализм в области бухгалтерского и налогового учета, знание таможенного, налогового и валютного законодательства, а также организация надежной и действенной системы внутреннего контроля. Однако практика деятельности предприятий-импортеров свидетельствуют о том, что далеко не каждая организация способна самостоятельно дать профессиональную оценку полноты, законности и своевременности отражения в отчетности импортных операций с учетом их специфики, оценить риски искажения отчетности. 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 xml:space="preserve">По остроте, актуальности и непосредственному практическому значению одно из первых мест в решении этого вопроса принадлежит аудиту. Именно эффективное проведение аудиторской проверки позволит организации заручиться не только профессиональным суждением, но и минимизировать ряд рисков, непосредственно связанных с осуществлением импортной деятельности. Профессиональное суждение аудитора о достоверности отчетности по импортным операциям, соответствии их действующему законодательству, рациональности для предприятия интересует сегодня многих пользователей отчетности в процессе принятия ими управленческих решений. 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Итак, цель аудита импортных операций - это выражение независимого мнения о достоверности учета импортных операций во всех существенных аспектах, о соответствии их нормам действующего законодательства, о надежности и эффективности системы внутреннего контроля предприятия. Исходя из этих целей формируются задачи, план и программа аудита импортных операций.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 xml:space="preserve">Задачами же аудиторской деятельности следует считать работы, которые должны выполняться аудиторами в ходе аудиторской проверки для достижения целей аудиторской деятельности. Задачи аудиторской деятельности, определяемые ее целями и объектами, можно обобщить в приведенной таблице. </w:t>
      </w:r>
    </w:p>
    <w:p w:rsidR="00CE2AA9" w:rsidRPr="002E722F" w:rsidRDefault="00CE2AA9" w:rsidP="00CE2AA9">
      <w:pPr>
        <w:spacing w:after="0" w:line="360" w:lineRule="auto"/>
        <w:ind w:firstLine="709"/>
        <w:jc w:val="both"/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3251"/>
        <w:gridCol w:w="2011"/>
        <w:gridCol w:w="1764"/>
        <w:gridCol w:w="1763"/>
      </w:tblGrid>
      <w:tr w:rsidR="00436D2D" w:rsidRPr="002E722F" w:rsidTr="00CE2AA9">
        <w:trPr>
          <w:jc w:val="center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2D" w:rsidRPr="002E722F" w:rsidRDefault="00D86029" w:rsidP="00CE2AA9">
            <w:pPr>
              <w:pStyle w:val="6"/>
              <w:spacing w:line="360" w:lineRule="auto"/>
              <w:ind w:firstLine="0"/>
              <w:jc w:val="both"/>
              <w:rPr>
                <w:b w:val="0"/>
                <w:sz w:val="20"/>
                <w:szCs w:val="28"/>
              </w:rPr>
            </w:pPr>
            <w:r w:rsidRPr="002E722F">
              <w:rPr>
                <w:b w:val="0"/>
                <w:sz w:val="20"/>
                <w:szCs w:val="22"/>
              </w:rPr>
              <w:br w:type="page"/>
            </w:r>
            <w:r w:rsidR="00436D2D" w:rsidRPr="002E722F">
              <w:rPr>
                <w:b w:val="0"/>
                <w:sz w:val="20"/>
                <w:szCs w:val="28"/>
              </w:rPr>
              <w:t>Объекты аудиторской деятельности</w:t>
            </w:r>
          </w:p>
        </w:tc>
        <w:tc>
          <w:tcPr>
            <w:tcW w:w="5538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Цели аудиторской деятельности – выражение мнения аудитора по результатам:</w:t>
            </w:r>
          </w:p>
        </w:tc>
      </w:tr>
      <w:tr w:rsidR="00436D2D" w:rsidRPr="002E722F" w:rsidTr="00CE2AA9">
        <w:trPr>
          <w:jc w:val="center"/>
        </w:trPr>
        <w:tc>
          <w:tcPr>
            <w:tcW w:w="32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проверки бухгалтерского учета и  бухгалтерской отчетности</w:t>
            </w:r>
          </w:p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(ПДБУО)</w:t>
            </w:r>
          </w:p>
        </w:tc>
        <w:tc>
          <w:tcPr>
            <w:tcW w:w="176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проверки соблюдения нормативных актов</w:t>
            </w:r>
          </w:p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</w:p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(ПСНА)</w:t>
            </w:r>
          </w:p>
        </w:tc>
        <w:tc>
          <w:tcPr>
            <w:tcW w:w="176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анализа хозяйственных операций</w:t>
            </w:r>
          </w:p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</w:p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(АХО)</w:t>
            </w:r>
          </w:p>
        </w:tc>
      </w:tr>
      <w:tr w:rsidR="00436D2D" w:rsidRPr="002E722F" w:rsidTr="00CE2AA9">
        <w:trPr>
          <w:jc w:val="center"/>
        </w:trPr>
        <w:tc>
          <w:tcPr>
            <w:tcW w:w="3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А</w:t>
            </w:r>
          </w:p>
        </w:tc>
        <w:tc>
          <w:tcPr>
            <w:tcW w:w="2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3</w:t>
            </w:r>
          </w:p>
        </w:tc>
      </w:tr>
      <w:tr w:rsidR="00436D2D" w:rsidRPr="002E722F" w:rsidTr="00CE2AA9">
        <w:trPr>
          <w:jc w:val="center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 xml:space="preserve">1.  Импорт товаров, работ и услуг </w:t>
            </w:r>
          </w:p>
        </w:tc>
        <w:tc>
          <w:tcPr>
            <w:tcW w:w="2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1001</w:t>
            </w:r>
          </w:p>
        </w:tc>
        <w:tc>
          <w:tcPr>
            <w:tcW w:w="1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1002</w:t>
            </w:r>
          </w:p>
        </w:tc>
        <w:tc>
          <w:tcPr>
            <w:tcW w:w="1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1003</w:t>
            </w:r>
          </w:p>
        </w:tc>
      </w:tr>
      <w:tr w:rsidR="00436D2D" w:rsidRPr="002E722F" w:rsidTr="00CE2AA9">
        <w:trPr>
          <w:jc w:val="center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1.1. Формирование стоимости приобретенных ТМЦ</w:t>
            </w:r>
          </w:p>
        </w:tc>
        <w:tc>
          <w:tcPr>
            <w:tcW w:w="2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1101</w:t>
            </w:r>
          </w:p>
        </w:tc>
        <w:tc>
          <w:tcPr>
            <w:tcW w:w="1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1102</w:t>
            </w:r>
          </w:p>
        </w:tc>
        <w:tc>
          <w:tcPr>
            <w:tcW w:w="1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1103</w:t>
            </w:r>
          </w:p>
        </w:tc>
      </w:tr>
      <w:tr w:rsidR="00436D2D" w:rsidRPr="002E722F" w:rsidTr="00CE2AA9">
        <w:trPr>
          <w:jc w:val="center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1.2. Исчисление и отражение таможенных платежей и НДС</w:t>
            </w:r>
          </w:p>
        </w:tc>
        <w:tc>
          <w:tcPr>
            <w:tcW w:w="2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1201</w:t>
            </w:r>
          </w:p>
        </w:tc>
        <w:tc>
          <w:tcPr>
            <w:tcW w:w="1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1202</w:t>
            </w:r>
          </w:p>
        </w:tc>
        <w:tc>
          <w:tcPr>
            <w:tcW w:w="1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1203</w:t>
            </w:r>
          </w:p>
        </w:tc>
      </w:tr>
      <w:tr w:rsidR="00436D2D" w:rsidRPr="002E722F" w:rsidTr="00CE2AA9">
        <w:trPr>
          <w:jc w:val="center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 xml:space="preserve">1.3. Расчеты с иностранными поставщиками </w:t>
            </w:r>
          </w:p>
        </w:tc>
        <w:tc>
          <w:tcPr>
            <w:tcW w:w="2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1301</w:t>
            </w:r>
          </w:p>
        </w:tc>
        <w:tc>
          <w:tcPr>
            <w:tcW w:w="1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1302</w:t>
            </w:r>
          </w:p>
        </w:tc>
        <w:tc>
          <w:tcPr>
            <w:tcW w:w="1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1303</w:t>
            </w:r>
          </w:p>
        </w:tc>
      </w:tr>
      <w:tr w:rsidR="00436D2D" w:rsidRPr="002E722F" w:rsidTr="00CE2AA9">
        <w:trPr>
          <w:jc w:val="center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1.4. Исчисление и отражение курсовых разниц</w:t>
            </w:r>
          </w:p>
        </w:tc>
        <w:tc>
          <w:tcPr>
            <w:tcW w:w="20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1401</w:t>
            </w:r>
          </w:p>
        </w:tc>
        <w:tc>
          <w:tcPr>
            <w:tcW w:w="1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1402</w:t>
            </w:r>
          </w:p>
        </w:tc>
        <w:tc>
          <w:tcPr>
            <w:tcW w:w="1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1403</w:t>
            </w:r>
          </w:p>
        </w:tc>
      </w:tr>
    </w:tbl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436D2D" w:rsidP="00CE2AA9">
      <w:pPr>
        <w:pStyle w:val="ConsNormal"/>
        <w:widowControl/>
        <w:tabs>
          <w:tab w:val="num" w:pos="96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>В подлежащем таблицы фиксируются объекты аудиторской деятельности, в сказуемом  - ее цели, в том числе выражение мнения по результатам:</w:t>
      </w:r>
    </w:p>
    <w:p w:rsidR="00436D2D" w:rsidRPr="002E722F" w:rsidRDefault="00436D2D" w:rsidP="00CE2AA9">
      <w:pPr>
        <w:pStyle w:val="ConsNormal"/>
        <w:widowControl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 xml:space="preserve"> проверки достоверности бухгалтерской отчетности и соответствия порядка ведения бухгалтерского учета установленным правилам (ПДБУО);</w:t>
      </w:r>
    </w:p>
    <w:p w:rsidR="00436D2D" w:rsidRPr="002E722F" w:rsidRDefault="00436D2D" w:rsidP="00CE2AA9">
      <w:pPr>
        <w:pStyle w:val="ConsNormal"/>
        <w:widowControl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 xml:space="preserve"> проверки соблюдения нормативных актов при совершении хозяйственных операций (ПСНА)</w:t>
      </w:r>
    </w:p>
    <w:p w:rsidR="00436D2D" w:rsidRPr="002E722F" w:rsidRDefault="00436D2D" w:rsidP="00CE2AA9">
      <w:pPr>
        <w:pStyle w:val="ConsNormal"/>
        <w:widowControl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 xml:space="preserve"> анализа целесообразности и эффективности событий в деятельности хозяйствующих субъектов</w:t>
      </w:r>
    </w:p>
    <w:p w:rsidR="00436D2D" w:rsidRPr="002E722F" w:rsidRDefault="00436D2D" w:rsidP="00CE2AA9">
      <w:pPr>
        <w:pStyle w:val="3"/>
        <w:spacing w:line="360" w:lineRule="auto"/>
        <w:ind w:firstLine="709"/>
        <w:rPr>
          <w:sz w:val="28"/>
        </w:rPr>
      </w:pPr>
      <w:r w:rsidRPr="002E722F">
        <w:rPr>
          <w:sz w:val="28"/>
        </w:rPr>
        <w:t>В клетках таблицы отражаются идентификаторы аудиторских работ, первые два разряда которых характеризуют элементы финансово-экономических процессов, последний - цель аудиторской деятельности. Например, 1102 - проверка соблюдения нормативных актов при совершении импорта товаров, работ и услуг; 1301  - проверка достоверности бухгалтерской отчетности по расчетам с иностранными поставщиками; 1403 - анализ операций по исчислению курсовых разниц. Комплексы аудиторских работ по столбцам раскрывают  содержание  основных  целей аудиторской деятельности.</w:t>
      </w:r>
    </w:p>
    <w:p w:rsidR="00436D2D" w:rsidRPr="002E722F" w:rsidRDefault="00D86029" w:rsidP="00CE2AA9">
      <w:pPr>
        <w:pStyle w:val="3"/>
        <w:spacing w:line="360" w:lineRule="auto"/>
        <w:ind w:firstLine="709"/>
        <w:rPr>
          <w:sz w:val="28"/>
          <w:szCs w:val="44"/>
        </w:rPr>
      </w:pPr>
      <w:r w:rsidRPr="002E722F">
        <w:rPr>
          <w:sz w:val="28"/>
          <w:szCs w:val="44"/>
        </w:rPr>
        <w:br w:type="page"/>
      </w:r>
      <w:r w:rsidR="00436D2D" w:rsidRPr="002E722F">
        <w:rPr>
          <w:sz w:val="28"/>
          <w:szCs w:val="44"/>
        </w:rPr>
        <w:t>2. Нормативное регулирование</w:t>
      </w:r>
    </w:p>
    <w:p w:rsidR="00436D2D" w:rsidRPr="002E722F" w:rsidRDefault="00436D2D" w:rsidP="00CE2AA9">
      <w:pPr>
        <w:pStyle w:val="3"/>
        <w:spacing w:line="360" w:lineRule="auto"/>
        <w:ind w:firstLine="709"/>
        <w:rPr>
          <w:sz w:val="28"/>
          <w:szCs w:val="36"/>
        </w:rPr>
      </w:pPr>
    </w:p>
    <w:p w:rsidR="00436D2D" w:rsidRPr="002E722F" w:rsidRDefault="00436D2D" w:rsidP="00CE2AA9">
      <w:pPr>
        <w:pStyle w:val="3"/>
        <w:spacing w:line="360" w:lineRule="auto"/>
        <w:ind w:firstLine="709"/>
        <w:rPr>
          <w:sz w:val="28"/>
          <w:szCs w:val="36"/>
        </w:rPr>
      </w:pPr>
      <w:r w:rsidRPr="002E722F">
        <w:rPr>
          <w:sz w:val="28"/>
          <w:szCs w:val="36"/>
        </w:rPr>
        <w:t>2.1 Нормативное регулирование аудиторской</w:t>
      </w:r>
      <w:r w:rsidR="00D86029" w:rsidRPr="002E722F">
        <w:rPr>
          <w:sz w:val="28"/>
          <w:szCs w:val="36"/>
        </w:rPr>
        <w:t xml:space="preserve"> </w:t>
      </w:r>
      <w:r w:rsidRPr="002E722F">
        <w:rPr>
          <w:sz w:val="28"/>
          <w:szCs w:val="36"/>
        </w:rPr>
        <w:t>деятельности</w:t>
      </w:r>
    </w:p>
    <w:p w:rsidR="00436D2D" w:rsidRPr="002E722F" w:rsidRDefault="00436D2D" w:rsidP="00CE2AA9">
      <w:pPr>
        <w:pStyle w:val="3"/>
        <w:spacing w:line="360" w:lineRule="auto"/>
        <w:ind w:firstLine="709"/>
        <w:rPr>
          <w:sz w:val="28"/>
          <w:szCs w:val="28"/>
        </w:rPr>
      </w:pPr>
    </w:p>
    <w:p w:rsidR="00436D2D" w:rsidRPr="002E722F" w:rsidRDefault="00436D2D" w:rsidP="00CE2AA9">
      <w:pPr>
        <w:pStyle w:val="3"/>
        <w:spacing w:line="360" w:lineRule="auto"/>
        <w:ind w:firstLine="709"/>
        <w:rPr>
          <w:sz w:val="28"/>
        </w:rPr>
      </w:pPr>
      <w:r w:rsidRPr="002E722F">
        <w:rPr>
          <w:sz w:val="28"/>
          <w:szCs w:val="28"/>
        </w:rPr>
        <w:t>Нормативное регулирование аудиторской деятельности происходит на четырех уровнях: государственный (на уровне законов и федеральных стандартов аудиторской деятельности), внутриорганизационный и внутрифирменный.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 xml:space="preserve">Первый уровень. 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Указы президента и ФЗ №307 «Об аудиторской деятельности» от 30.12.2008г.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В этом законе прописаны функции государственных органов, регулирующих  аудит. К ним относятся:</w:t>
      </w:r>
    </w:p>
    <w:p w:rsidR="00436D2D" w:rsidRPr="002E722F" w:rsidRDefault="00436D2D" w:rsidP="00CE2AA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Уполномоченный федеральный орган при Минфине РФ</w:t>
      </w:r>
    </w:p>
    <w:p w:rsidR="00436D2D" w:rsidRPr="002E722F" w:rsidRDefault="00436D2D" w:rsidP="00CE2AA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выработка государственной политики в сфере аудиторской деятельности</w:t>
      </w:r>
    </w:p>
    <w:p w:rsidR="00436D2D" w:rsidRPr="002E722F" w:rsidRDefault="00436D2D" w:rsidP="00CE2AA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утверждение федеральных стандартов аудиторской деятельности</w:t>
      </w:r>
    </w:p>
    <w:p w:rsidR="00436D2D" w:rsidRPr="002E722F" w:rsidRDefault="00436D2D" w:rsidP="00CE2AA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ведение реестра саморегулируемых общественных организаций аудиторов</w:t>
      </w:r>
    </w:p>
    <w:p w:rsidR="00436D2D" w:rsidRPr="002E722F" w:rsidRDefault="00436D2D" w:rsidP="00CE2AA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принятие иных нормативных актов по аудиторской деятельности</w:t>
      </w:r>
    </w:p>
    <w:p w:rsidR="00436D2D" w:rsidRPr="002E722F" w:rsidRDefault="00436D2D" w:rsidP="00CE2AA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Совет по аудиторской деятельности</w:t>
      </w:r>
    </w:p>
    <w:p w:rsidR="00436D2D" w:rsidRPr="002E722F" w:rsidRDefault="00436D2D" w:rsidP="00CE2AA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рассмотрение вопросов государственной политики в сфере аудита</w:t>
      </w:r>
    </w:p>
    <w:p w:rsidR="00436D2D" w:rsidRPr="002E722F" w:rsidRDefault="00436D2D" w:rsidP="00CE2AA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рассмотрение проектов федеральных стандартов и других нормативных актов, а также кодекса профессиональной этики аудитора</w:t>
      </w:r>
    </w:p>
    <w:p w:rsidR="00436D2D" w:rsidRPr="002E722F" w:rsidRDefault="00436D2D" w:rsidP="00CE2AA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разработка рекомендаций по совершению внешнего контроля за работой аудиторских организаций</w:t>
      </w:r>
    </w:p>
    <w:p w:rsidR="00436D2D" w:rsidRPr="002E722F" w:rsidRDefault="00436D2D" w:rsidP="00CE2AA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прочие функции в интересах развития аудиторской деятельности</w:t>
      </w:r>
    </w:p>
    <w:p w:rsidR="00436D2D" w:rsidRPr="002E722F" w:rsidRDefault="00436D2D" w:rsidP="00CE2AA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Рабочий орган Совета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Второй уровень.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Федеральные правила (стандарты) аудиторской деятельности.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Это единые требования к порядку осуществления аудиторской деятельности, оформлению и оценке качества аудита и сопутствующих ему услуг, а также к порядку подготовки аудиторов и оценке их квалификации. ПСАД подразделяются международные и российские. Международные стандарты применяются в случаях, когда национальные отсутствуют или прописаны недостаточно подробно, а также при аудиторской консолидации отчетности фирм, акции которых продаются на российских и международных фондовых биржах.  В прочих ситуациях отчетность организаций проверяется на основе ФПСАД первого и второго поколения.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Третий уровень.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Внутренние стандарты, действующие в профессиональных аудиторских объединениях (ВСПАО).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Профессиональные аудиторские объединения вправе, если это предусмотрено их уставами, разрабатывать для своих членов внутренние правила (стандарты) аудиторской деятельности, которые не могут противоречить федеральным правилам (стандартам) аудиторской деятельности. Они обязательны к исполнению членами таких саморегулиремых аудиторских организаций.</w:t>
      </w:r>
    </w:p>
    <w:p w:rsidR="00436D2D" w:rsidRPr="002E722F" w:rsidRDefault="00436D2D" w:rsidP="00CE2AA9">
      <w:pPr>
        <w:pStyle w:val="ConsNormal"/>
        <w:widowControl/>
        <w:tabs>
          <w:tab w:val="num" w:pos="927"/>
          <w:tab w:val="num" w:pos="1259"/>
          <w:tab w:val="left" w:pos="921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>Четвертый уровень</w:t>
      </w:r>
    </w:p>
    <w:p w:rsidR="00436D2D" w:rsidRPr="002E722F" w:rsidRDefault="00436D2D" w:rsidP="00CE2AA9">
      <w:pPr>
        <w:pStyle w:val="ConsNormal"/>
        <w:widowControl/>
        <w:tabs>
          <w:tab w:val="num" w:pos="1259"/>
          <w:tab w:val="left" w:pos="921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>Правила (стандарты) аудиторской деятельности аудиторских организаций и индивидуальных аудиторов (ВСАО).</w:t>
      </w:r>
    </w:p>
    <w:p w:rsidR="00436D2D" w:rsidRPr="002E722F" w:rsidRDefault="00436D2D" w:rsidP="00CE2AA9">
      <w:pPr>
        <w:pStyle w:val="ConsNormal"/>
        <w:widowControl/>
        <w:tabs>
          <w:tab w:val="num" w:pos="927"/>
          <w:tab w:val="num" w:pos="1259"/>
          <w:tab w:val="left" w:pos="921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>Сюда можно отнести внутрифирменные стандарты аудиторской деятельности, которые являются инструкциями для работников этих фирм по планированию и проведению аудита. Инструкции не должны противоречить требованиям ФЗ, а также федеральным и внутренним стандартам саморегулируемых организаций.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CE2AA9" w:rsidP="00CE2AA9">
      <w:pPr>
        <w:spacing w:after="0" w:line="360" w:lineRule="auto"/>
        <w:ind w:firstLine="709"/>
        <w:jc w:val="both"/>
        <w:rPr>
          <w:szCs w:val="36"/>
        </w:rPr>
      </w:pPr>
      <w:r w:rsidRPr="002E722F">
        <w:rPr>
          <w:szCs w:val="36"/>
        </w:rPr>
        <w:br w:type="page"/>
      </w:r>
      <w:r w:rsidR="00436D2D" w:rsidRPr="002E722F">
        <w:rPr>
          <w:szCs w:val="36"/>
        </w:rPr>
        <w:t>2.2 Нормативное регулирование учета импортной деятельности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Правовое регулирование внешнеторговых сделок осуществляется на основе норм международного права, национального законодательства каждой из сторон сделки, а также условий внешнеторгового догово</w:t>
      </w:r>
      <w:r w:rsidRPr="002E722F">
        <w:rPr>
          <w:szCs w:val="28"/>
        </w:rPr>
        <w:softHyphen/>
        <w:t>ра купли-продажи, называемого контрактом, которые устанавливаются по договоренности и фиксируются в контракте. Правовое регулирование экспортно-импортных сделок не только создает базу для взаимоотношений сторон внешнеторгового контракта как между собой, так и с государственными органами каждой из сторон, но также и влияет на особенности отражения операций в бухгалтерском учете.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Первый уровень.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 xml:space="preserve">Основы регулирования устанавливают международные нормы, которые во всех странах имеют приоритет перед национальными – этот принцип закреплен и в Конституции Российской Федерации.  Наиболее значимой здесь является Конвенция о договорах международной купли-продажи товаров (Вена, 11 апреля </w:t>
      </w:r>
      <w:smartTag w:uri="urn:schemas-microsoft-com:office:smarttags" w:element="metricconverter">
        <w:smartTagPr>
          <w:attr w:name="ProductID" w:val="1980 г"/>
        </w:smartTagPr>
        <w:r w:rsidRPr="002E722F">
          <w:rPr>
            <w:szCs w:val="28"/>
          </w:rPr>
          <w:t>1980 г</w:t>
        </w:r>
      </w:smartTag>
      <w:r w:rsidRPr="002E722F">
        <w:rPr>
          <w:szCs w:val="28"/>
        </w:rPr>
        <w:t xml:space="preserve">.), число участников которой приближается к двумстам. Россия как правопреемница СССР ратифицировала ее в </w:t>
      </w:r>
      <w:smartTag w:uri="urn:schemas-microsoft-com:office:smarttags" w:element="metricconverter">
        <w:smartTagPr>
          <w:attr w:name="ProductID" w:val="1990 г"/>
        </w:smartTagPr>
        <w:r w:rsidRPr="002E722F">
          <w:rPr>
            <w:szCs w:val="28"/>
          </w:rPr>
          <w:t>1990 г</w:t>
        </w:r>
      </w:smartTag>
      <w:r w:rsidRPr="002E722F">
        <w:rPr>
          <w:szCs w:val="28"/>
        </w:rPr>
        <w:t>., поэтому положения Венской конвенции стали частью права Российской Федерации, как и всех государств, ее подписавших.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Второй уровень.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Национальное законодательство в виде Федеральных Законов и Кодексов является следующим уровнем регулирования внешнеэкономической деятельности.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Третий уровень.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36"/>
        </w:rPr>
      </w:pPr>
      <w:r w:rsidRPr="002E722F">
        <w:rPr>
          <w:szCs w:val="28"/>
        </w:rPr>
        <w:t>Правила отражения сделок по импорту товаров, работ и услуг в бухгалтерском учете устанавливают различные ПБУ, утверждаемы Министерством Финансов.</w:t>
      </w:r>
    </w:p>
    <w:p w:rsidR="00436D2D" w:rsidRPr="002E722F" w:rsidRDefault="00CE2AA9" w:rsidP="00CE2AA9">
      <w:pPr>
        <w:pStyle w:val="ConsNormal"/>
        <w:widowControl/>
        <w:tabs>
          <w:tab w:val="num" w:pos="927"/>
          <w:tab w:val="num" w:pos="1259"/>
          <w:tab w:val="left" w:pos="921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br w:type="page"/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3"/>
        <w:gridCol w:w="2089"/>
        <w:gridCol w:w="3737"/>
      </w:tblGrid>
      <w:tr w:rsidR="00436D2D" w:rsidRPr="002E722F" w:rsidTr="00CE2AA9">
        <w:trPr>
          <w:jc w:val="center"/>
        </w:trPr>
        <w:tc>
          <w:tcPr>
            <w:tcW w:w="2963" w:type="dxa"/>
          </w:tcPr>
          <w:p w:rsidR="00436D2D" w:rsidRPr="002E722F" w:rsidRDefault="00CE2AA9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  <w:szCs w:val="22"/>
              </w:rPr>
              <w:br w:type="page"/>
            </w:r>
            <w:r w:rsidR="00436D2D" w:rsidRPr="002E722F">
              <w:rPr>
                <w:rFonts w:ascii="Times New Roman" w:hAnsi="Times New Roman"/>
              </w:rPr>
              <w:t>Нормативный акт</w:t>
            </w:r>
          </w:p>
        </w:tc>
        <w:tc>
          <w:tcPr>
            <w:tcW w:w="2089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Уровень регулирования</w:t>
            </w:r>
          </w:p>
        </w:tc>
        <w:tc>
          <w:tcPr>
            <w:tcW w:w="3737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Область применения</w:t>
            </w:r>
          </w:p>
        </w:tc>
      </w:tr>
      <w:tr w:rsidR="00436D2D" w:rsidRPr="002E722F" w:rsidTr="00CE2AA9">
        <w:trPr>
          <w:jc w:val="center"/>
        </w:trPr>
        <w:tc>
          <w:tcPr>
            <w:tcW w:w="2963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  <w:szCs w:val="28"/>
              </w:rPr>
              <w:t>Конвенция о договорах международной купли-продажи товаров</w:t>
            </w:r>
          </w:p>
        </w:tc>
        <w:tc>
          <w:tcPr>
            <w:tcW w:w="2089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 xml:space="preserve">Первый </w:t>
            </w:r>
          </w:p>
        </w:tc>
        <w:tc>
          <w:tcPr>
            <w:tcW w:w="3737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  <w:szCs w:val="28"/>
              </w:rPr>
              <w:t>Утверждает свод унифицированных правил, применяющихся в отношениях по договору импорта-экспорта, что обеспечивает одинаковое понимание сторонами контракта их прав и обязанностей, необходимое для надлежащего исполнения ими взаимных обязательств</w:t>
            </w:r>
          </w:p>
        </w:tc>
      </w:tr>
      <w:tr w:rsidR="00436D2D" w:rsidRPr="002E722F" w:rsidTr="00CE2AA9">
        <w:trPr>
          <w:jc w:val="center"/>
        </w:trPr>
        <w:tc>
          <w:tcPr>
            <w:tcW w:w="2963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  <w:szCs w:val="28"/>
              </w:rPr>
              <w:t>ФЗ №164 «Об основах государственного регулирования внешнеторговой деятельности» от 8.12.2003</w:t>
            </w:r>
          </w:p>
        </w:tc>
        <w:tc>
          <w:tcPr>
            <w:tcW w:w="2089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Второй</w:t>
            </w:r>
          </w:p>
        </w:tc>
        <w:tc>
          <w:tcPr>
            <w:tcW w:w="3737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Определяет основы государственного регулирования внешнеторговой деятельности а также полномочия РФ и ее субъектов в целях обеспечения благоприятных условий для внешнеторговой деятельности</w:t>
            </w:r>
          </w:p>
        </w:tc>
      </w:tr>
      <w:tr w:rsidR="00436D2D" w:rsidRPr="002E722F" w:rsidTr="00CE2AA9">
        <w:trPr>
          <w:jc w:val="center"/>
        </w:trPr>
        <w:tc>
          <w:tcPr>
            <w:tcW w:w="2963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  <w:szCs w:val="28"/>
              </w:rPr>
              <w:t>Закон РФ №5003-</w:t>
            </w:r>
            <w:r w:rsidRPr="002E722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2E722F">
              <w:rPr>
                <w:rFonts w:ascii="Times New Roman" w:hAnsi="Times New Roman"/>
                <w:szCs w:val="28"/>
              </w:rPr>
              <w:t xml:space="preserve"> «О таможенном тарифе»</w:t>
            </w:r>
            <w:r w:rsidR="00D86029" w:rsidRPr="002E722F">
              <w:rPr>
                <w:rFonts w:ascii="Times New Roman" w:hAnsi="Times New Roman"/>
                <w:szCs w:val="28"/>
              </w:rPr>
              <w:t xml:space="preserve"> </w:t>
            </w:r>
            <w:r w:rsidRPr="002E722F">
              <w:rPr>
                <w:rFonts w:ascii="Times New Roman" w:hAnsi="Times New Roman"/>
                <w:szCs w:val="28"/>
              </w:rPr>
              <w:t>от 21.05.1993</w:t>
            </w:r>
          </w:p>
        </w:tc>
        <w:tc>
          <w:tcPr>
            <w:tcW w:w="2089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Второй</w:t>
            </w:r>
          </w:p>
        </w:tc>
        <w:tc>
          <w:tcPr>
            <w:tcW w:w="3737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Устанавливает порядок формирования и применения таможенного тарифа РФ, а также правила обложения товаров пошлинами при их перемещении через таможенную границу РФ</w:t>
            </w:r>
          </w:p>
        </w:tc>
      </w:tr>
      <w:tr w:rsidR="00436D2D" w:rsidRPr="002E722F" w:rsidTr="00CE2AA9">
        <w:trPr>
          <w:jc w:val="center"/>
        </w:trPr>
        <w:tc>
          <w:tcPr>
            <w:tcW w:w="2963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 xml:space="preserve">ФЗ №173 «О валютном регулировании и валютном контроле» </w:t>
            </w:r>
            <w:r w:rsidR="00D86029" w:rsidRPr="002E722F">
              <w:rPr>
                <w:rFonts w:ascii="Times New Roman" w:hAnsi="Times New Roman"/>
              </w:rPr>
              <w:t>о</w:t>
            </w:r>
            <w:r w:rsidRPr="002E722F">
              <w:rPr>
                <w:rFonts w:ascii="Times New Roman" w:hAnsi="Times New Roman"/>
              </w:rPr>
              <w:t>т 10.12.2003</w:t>
            </w:r>
          </w:p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89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Второй</w:t>
            </w:r>
          </w:p>
        </w:tc>
        <w:tc>
          <w:tcPr>
            <w:tcW w:w="3737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Обеспечивает реализацию единой государственной валютной политики, а также устойчивость валюты РФ и стабильности внутреннего валютного рынка</w:t>
            </w:r>
          </w:p>
        </w:tc>
      </w:tr>
      <w:tr w:rsidR="00436D2D" w:rsidRPr="002E722F" w:rsidTr="00CE2AA9">
        <w:trPr>
          <w:jc w:val="center"/>
        </w:trPr>
        <w:tc>
          <w:tcPr>
            <w:tcW w:w="2963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ФЗ №129 «О бухгалтерском учете» от 21.11.1996</w:t>
            </w:r>
          </w:p>
        </w:tc>
        <w:tc>
          <w:tcPr>
            <w:tcW w:w="2089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Второй</w:t>
            </w:r>
          </w:p>
        </w:tc>
        <w:tc>
          <w:tcPr>
            <w:tcW w:w="3737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Устанавливает понятие бухгалтерского учета, его объекты, основные задачи и порядок применения</w:t>
            </w:r>
          </w:p>
        </w:tc>
      </w:tr>
      <w:tr w:rsidR="00436D2D" w:rsidRPr="002E722F" w:rsidTr="00CE2AA9">
        <w:trPr>
          <w:jc w:val="center"/>
        </w:trPr>
        <w:tc>
          <w:tcPr>
            <w:tcW w:w="2963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Таможенный Кодекс РФ</w:t>
            </w:r>
          </w:p>
        </w:tc>
        <w:tc>
          <w:tcPr>
            <w:tcW w:w="2089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Второй</w:t>
            </w:r>
          </w:p>
        </w:tc>
        <w:tc>
          <w:tcPr>
            <w:tcW w:w="3737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Устанавливает порядок и правила, при соблюдении которых лица реализуют право на перемещение товаров и транспортных средств через таможенную границу РФ</w:t>
            </w:r>
          </w:p>
        </w:tc>
      </w:tr>
      <w:tr w:rsidR="00436D2D" w:rsidRPr="002E722F" w:rsidTr="00CE2AA9">
        <w:trPr>
          <w:jc w:val="center"/>
        </w:trPr>
        <w:tc>
          <w:tcPr>
            <w:tcW w:w="2963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Налоговый Кодекс РФ</w:t>
            </w:r>
          </w:p>
        </w:tc>
        <w:tc>
          <w:tcPr>
            <w:tcW w:w="2089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Второй</w:t>
            </w:r>
          </w:p>
        </w:tc>
        <w:tc>
          <w:tcPr>
            <w:tcW w:w="3737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Устанавливает систему налогов и сборов, а также общие принципы налогообложения и сборов в РФ</w:t>
            </w:r>
          </w:p>
        </w:tc>
      </w:tr>
      <w:tr w:rsidR="00436D2D" w:rsidRPr="002E722F" w:rsidTr="00CE2AA9">
        <w:trPr>
          <w:jc w:val="center"/>
        </w:trPr>
        <w:tc>
          <w:tcPr>
            <w:tcW w:w="2963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ПБУ 5/2001 «Учет материально-производственных запасов»</w:t>
            </w:r>
          </w:p>
        </w:tc>
        <w:tc>
          <w:tcPr>
            <w:tcW w:w="2089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Третий</w:t>
            </w:r>
          </w:p>
        </w:tc>
        <w:tc>
          <w:tcPr>
            <w:tcW w:w="3737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Устанавливает правила формирования в бухгалтерском учете информации о материально-производственных запасах организации</w:t>
            </w:r>
          </w:p>
        </w:tc>
      </w:tr>
      <w:tr w:rsidR="00436D2D" w:rsidRPr="002E722F" w:rsidTr="00CE2AA9">
        <w:trPr>
          <w:jc w:val="center"/>
        </w:trPr>
        <w:tc>
          <w:tcPr>
            <w:tcW w:w="2963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ПБУ 3/2006 «Учет активов и обязательств, стоимость которых выражена в материальной валюте»</w:t>
            </w:r>
          </w:p>
        </w:tc>
        <w:tc>
          <w:tcPr>
            <w:tcW w:w="2089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Третий</w:t>
            </w:r>
          </w:p>
        </w:tc>
        <w:tc>
          <w:tcPr>
            <w:tcW w:w="3737" w:type="dxa"/>
          </w:tcPr>
          <w:p w:rsidR="00436D2D" w:rsidRPr="002E722F" w:rsidRDefault="00436D2D" w:rsidP="00CE2AA9">
            <w:pPr>
              <w:pStyle w:val="ConsNormal"/>
              <w:widowControl/>
              <w:tabs>
                <w:tab w:val="num" w:pos="927"/>
                <w:tab w:val="num" w:pos="1259"/>
                <w:tab w:val="left" w:pos="9214"/>
              </w:tabs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2E722F">
              <w:rPr>
                <w:rFonts w:ascii="Times New Roman" w:hAnsi="Times New Roman"/>
              </w:rPr>
              <w:t>Устанавливает особенности формирования в бухгалтерском учете и отчетности информации об активах и обязательствах, стоимость которых выражена в иностранной валюте, организациями, являющимися юридическими лицами по законодательству РФ</w:t>
            </w:r>
          </w:p>
        </w:tc>
      </w:tr>
    </w:tbl>
    <w:p w:rsidR="00D86029" w:rsidRPr="002E722F" w:rsidRDefault="00D86029" w:rsidP="00CE2AA9">
      <w:pPr>
        <w:pStyle w:val="21"/>
        <w:spacing w:after="0" w:line="360" w:lineRule="auto"/>
        <w:ind w:left="0" w:firstLine="709"/>
        <w:jc w:val="both"/>
        <w:rPr>
          <w:szCs w:val="44"/>
        </w:rPr>
      </w:pPr>
    </w:p>
    <w:p w:rsidR="00436D2D" w:rsidRPr="002E722F" w:rsidRDefault="00D86029" w:rsidP="00CE2AA9">
      <w:pPr>
        <w:pStyle w:val="21"/>
        <w:spacing w:after="0" w:line="360" w:lineRule="auto"/>
        <w:ind w:left="0" w:firstLine="709"/>
        <w:jc w:val="both"/>
        <w:rPr>
          <w:szCs w:val="44"/>
        </w:rPr>
      </w:pPr>
      <w:r w:rsidRPr="002E722F">
        <w:rPr>
          <w:szCs w:val="44"/>
        </w:rPr>
        <w:br w:type="page"/>
      </w:r>
      <w:r w:rsidR="00436D2D" w:rsidRPr="002E722F">
        <w:rPr>
          <w:szCs w:val="44"/>
        </w:rPr>
        <w:t>3. Информация аудируемого лица, необходимая для проверки</w:t>
      </w:r>
    </w:p>
    <w:p w:rsidR="00436D2D" w:rsidRPr="002E722F" w:rsidRDefault="00436D2D" w:rsidP="00CE2AA9">
      <w:pPr>
        <w:pStyle w:val="21"/>
        <w:spacing w:after="0" w:line="360" w:lineRule="auto"/>
        <w:ind w:left="0" w:firstLine="709"/>
        <w:jc w:val="both"/>
        <w:rPr>
          <w:szCs w:val="28"/>
        </w:rPr>
      </w:pPr>
    </w:p>
    <w:p w:rsidR="00436D2D" w:rsidRPr="002E722F" w:rsidRDefault="00436D2D" w:rsidP="00CE2AA9">
      <w:pPr>
        <w:pStyle w:val="21"/>
        <w:spacing w:after="0" w:line="360" w:lineRule="auto"/>
        <w:ind w:left="0" w:firstLine="709"/>
        <w:contextualSpacing w:val="0"/>
        <w:jc w:val="both"/>
        <w:rPr>
          <w:szCs w:val="28"/>
        </w:rPr>
      </w:pPr>
      <w:r w:rsidRPr="002E722F">
        <w:rPr>
          <w:szCs w:val="28"/>
        </w:rPr>
        <w:t>В аудите наряду с нормативно-правовыми актами требуется информация аудируемых лиц и иных хозяйствующих субъектов, которая подразделяется  на несколько видов:</w:t>
      </w:r>
    </w:p>
    <w:p w:rsidR="00436D2D" w:rsidRPr="002E722F" w:rsidRDefault="00436D2D" w:rsidP="00CE2AA9">
      <w:pPr>
        <w:pStyle w:val="21"/>
        <w:numPr>
          <w:ilvl w:val="0"/>
          <w:numId w:val="12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Планово-договорная</w:t>
      </w:r>
    </w:p>
    <w:p w:rsidR="00436D2D" w:rsidRPr="002E722F" w:rsidRDefault="00436D2D" w:rsidP="00CE2AA9">
      <w:pPr>
        <w:pStyle w:val="21"/>
        <w:spacing w:after="0" w:line="360" w:lineRule="auto"/>
        <w:ind w:left="0" w:firstLine="709"/>
        <w:contextualSpacing w:val="0"/>
        <w:jc w:val="both"/>
        <w:rPr>
          <w:szCs w:val="28"/>
        </w:rPr>
      </w:pPr>
      <w:r w:rsidRPr="002E722F">
        <w:rPr>
          <w:szCs w:val="28"/>
        </w:rPr>
        <w:t>К планово-договорной  информации относятся договоры на приобретение, продажу и выполнение других  операций  с рассматриваемым активом, проектно-сметная и иная документация;</w:t>
      </w:r>
    </w:p>
    <w:p w:rsidR="00436D2D" w:rsidRPr="002E722F" w:rsidRDefault="00436D2D" w:rsidP="00CE2AA9">
      <w:pPr>
        <w:pStyle w:val="21"/>
        <w:numPr>
          <w:ilvl w:val="0"/>
          <w:numId w:val="12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Расценочная</w:t>
      </w:r>
    </w:p>
    <w:p w:rsidR="00436D2D" w:rsidRPr="002E722F" w:rsidRDefault="00436D2D" w:rsidP="00CE2AA9">
      <w:pPr>
        <w:pStyle w:val="21"/>
        <w:spacing w:after="0" w:line="360" w:lineRule="auto"/>
        <w:ind w:left="0" w:firstLine="709"/>
        <w:contextualSpacing w:val="0"/>
        <w:jc w:val="both"/>
        <w:rPr>
          <w:szCs w:val="28"/>
        </w:rPr>
      </w:pPr>
      <w:r w:rsidRPr="002E722F">
        <w:rPr>
          <w:szCs w:val="28"/>
        </w:rPr>
        <w:t>К информации этого типа относят цены и тарифы;</w:t>
      </w:r>
    </w:p>
    <w:p w:rsidR="00436D2D" w:rsidRPr="002E722F" w:rsidRDefault="00436D2D" w:rsidP="00CE2AA9">
      <w:pPr>
        <w:pStyle w:val="21"/>
        <w:numPr>
          <w:ilvl w:val="0"/>
          <w:numId w:val="12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Конструкторско-технологическая</w:t>
      </w:r>
    </w:p>
    <w:p w:rsidR="00436D2D" w:rsidRPr="002E722F" w:rsidRDefault="00436D2D" w:rsidP="00CE2AA9">
      <w:pPr>
        <w:pStyle w:val="21"/>
        <w:spacing w:after="0" w:line="360" w:lineRule="auto"/>
        <w:ind w:left="0" w:firstLine="709"/>
        <w:contextualSpacing w:val="0"/>
        <w:jc w:val="both"/>
        <w:rPr>
          <w:szCs w:val="28"/>
        </w:rPr>
      </w:pPr>
      <w:r w:rsidRPr="002E722F">
        <w:rPr>
          <w:szCs w:val="28"/>
        </w:rPr>
        <w:t>К конструкторско-технологической информации относятся сведения о  составе используемых объектов в деятельности организации, нормы затрат времени работы основных средств при изготовлении деталей, изделий и других компонентов, данные технической документации;</w:t>
      </w:r>
    </w:p>
    <w:p w:rsidR="00436D2D" w:rsidRPr="002E722F" w:rsidRDefault="00436D2D" w:rsidP="00CE2AA9">
      <w:pPr>
        <w:pStyle w:val="21"/>
        <w:numPr>
          <w:ilvl w:val="0"/>
          <w:numId w:val="12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Распорядительная</w:t>
      </w:r>
    </w:p>
    <w:p w:rsidR="00436D2D" w:rsidRPr="002E722F" w:rsidRDefault="00436D2D" w:rsidP="00CE2AA9">
      <w:pPr>
        <w:pStyle w:val="21"/>
        <w:spacing w:after="0" w:line="360" w:lineRule="auto"/>
        <w:ind w:left="0" w:firstLine="709"/>
        <w:contextualSpacing w:val="0"/>
        <w:jc w:val="both"/>
        <w:rPr>
          <w:szCs w:val="28"/>
        </w:rPr>
      </w:pPr>
      <w:r w:rsidRPr="002E722F">
        <w:rPr>
          <w:szCs w:val="28"/>
        </w:rPr>
        <w:t>Информация распорядительного характера фиксируется в приказах (в том числе и об учетной политике организации), распоряжениях, договорах с должностными лицами, контрактах с работниками, протоколах заседаний органов управления и других документах;</w:t>
      </w:r>
    </w:p>
    <w:p w:rsidR="00436D2D" w:rsidRPr="002E722F" w:rsidRDefault="00436D2D" w:rsidP="00CE2AA9">
      <w:pPr>
        <w:pStyle w:val="21"/>
        <w:numPr>
          <w:ilvl w:val="0"/>
          <w:numId w:val="12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Учетная</w:t>
      </w:r>
    </w:p>
    <w:p w:rsidR="00436D2D" w:rsidRPr="002E722F" w:rsidRDefault="00436D2D" w:rsidP="00CE2AA9">
      <w:pPr>
        <w:pStyle w:val="21"/>
        <w:spacing w:after="0" w:line="360" w:lineRule="auto"/>
        <w:ind w:left="0" w:firstLine="709"/>
        <w:contextualSpacing w:val="0"/>
        <w:jc w:val="both"/>
        <w:rPr>
          <w:szCs w:val="28"/>
        </w:rPr>
      </w:pPr>
      <w:r w:rsidRPr="002E722F">
        <w:rPr>
          <w:szCs w:val="28"/>
        </w:rPr>
        <w:t>Эта информация состоит из первичных документов, регистров хронологического, аналитического, синтетического и  сводного учета (финансового и управленческого); здесь следует отметить приоритетное значение первичной информации, обладающей юридической силой,  прежде всего первичных  учетных документов – как правило, такие сведения фиксируются в регистрах хронологического учета (в регистрационных файлах);</w:t>
      </w:r>
    </w:p>
    <w:p w:rsidR="00436D2D" w:rsidRPr="002E722F" w:rsidRDefault="00436D2D" w:rsidP="00CE2AA9">
      <w:pPr>
        <w:pStyle w:val="21"/>
        <w:numPr>
          <w:ilvl w:val="0"/>
          <w:numId w:val="12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Отчетная</w:t>
      </w:r>
    </w:p>
    <w:p w:rsidR="00436D2D" w:rsidRPr="002E722F" w:rsidRDefault="00436D2D" w:rsidP="00CE2AA9">
      <w:pPr>
        <w:pStyle w:val="21"/>
        <w:spacing w:after="0" w:line="360" w:lineRule="auto"/>
        <w:ind w:left="0" w:firstLine="709"/>
        <w:contextualSpacing w:val="0"/>
        <w:jc w:val="both"/>
        <w:rPr>
          <w:szCs w:val="28"/>
        </w:rPr>
      </w:pPr>
      <w:r w:rsidRPr="002E722F">
        <w:rPr>
          <w:szCs w:val="28"/>
        </w:rPr>
        <w:t>Информация отчетного типа включает данные бухгалтерской, статистической и налоговой отчетности (налоговых деклараций);</w:t>
      </w:r>
    </w:p>
    <w:p w:rsidR="00436D2D" w:rsidRPr="002E722F" w:rsidRDefault="00436D2D" w:rsidP="00CE2AA9">
      <w:pPr>
        <w:pStyle w:val="21"/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7) Справочная.</w:t>
      </w:r>
    </w:p>
    <w:p w:rsidR="00436D2D" w:rsidRPr="002E722F" w:rsidRDefault="00436D2D" w:rsidP="00CE2AA9">
      <w:pPr>
        <w:pStyle w:val="23"/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Для обобщенного представления о составе информации проверяемого экономического субъекта и третьих лиц аудитору рекомендуется разработать схемы документооборота или взаимосвязей носителей входной и выходной информации.</w:t>
      </w:r>
    </w:p>
    <w:p w:rsidR="00436D2D" w:rsidRPr="002E722F" w:rsidRDefault="00436D2D" w:rsidP="00CE2AA9">
      <w:pPr>
        <w:pStyle w:val="23"/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 xml:space="preserve">Обобщение основных положений нормативных документов, формирование схем документооборота и взаимосвязей носителей информации не только способствуют организации информационной базы аудита, но и облегчают формирование аудиторских процедур, позволяют определить источники аудиторских доказательств и операции обработки данных по каждой процедуре. Использование справочников нормативных актов объектов гражданских прав, бухгалтерского учета и налогообложения дает возможность установить состав и содержание процедур нормативных проверок. </w:t>
      </w:r>
    </w:p>
    <w:p w:rsidR="00436D2D" w:rsidRPr="002E722F" w:rsidRDefault="00436D2D" w:rsidP="00CE2AA9">
      <w:pPr>
        <w:pStyle w:val="23"/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В таблице приведен примерный список документов (их описание, а также тип информации), необходимых для проведения аудиторской проверки учета импорта товаров.</w:t>
      </w:r>
    </w:p>
    <w:p w:rsidR="00436D2D" w:rsidRPr="002E722F" w:rsidRDefault="00436D2D" w:rsidP="00CE2AA9">
      <w:pPr>
        <w:pStyle w:val="23"/>
        <w:spacing w:after="0" w:line="360" w:lineRule="auto"/>
        <w:ind w:firstLine="709"/>
        <w:jc w:val="both"/>
        <w:rPr>
          <w:szCs w:val="28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1"/>
        <w:gridCol w:w="2108"/>
        <w:gridCol w:w="4100"/>
      </w:tblGrid>
      <w:tr w:rsidR="00436D2D" w:rsidRPr="002E722F" w:rsidTr="00D86029">
        <w:trPr>
          <w:jc w:val="center"/>
        </w:trPr>
        <w:tc>
          <w:tcPr>
            <w:tcW w:w="2802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Наименование документа</w:t>
            </w:r>
          </w:p>
        </w:tc>
        <w:tc>
          <w:tcPr>
            <w:tcW w:w="2268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Тип информации</w:t>
            </w:r>
          </w:p>
        </w:tc>
        <w:tc>
          <w:tcPr>
            <w:tcW w:w="4501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Содержание документа</w:t>
            </w:r>
          </w:p>
        </w:tc>
      </w:tr>
      <w:tr w:rsidR="00436D2D" w:rsidRPr="002E722F" w:rsidTr="00D86029">
        <w:trPr>
          <w:jc w:val="center"/>
        </w:trPr>
        <w:tc>
          <w:tcPr>
            <w:tcW w:w="2802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Проформа Инвойс</w:t>
            </w:r>
          </w:p>
        </w:tc>
        <w:tc>
          <w:tcPr>
            <w:tcW w:w="2268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Учетная</w:t>
            </w:r>
          </w:p>
        </w:tc>
        <w:tc>
          <w:tcPr>
            <w:tcW w:w="4501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Этот документ является счетом на предоплату, выставляемым предприятием-поставщиком.</w:t>
            </w:r>
          </w:p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В документе указывается количество заказанных товаров, их цена и общая сумма.</w:t>
            </w:r>
          </w:p>
        </w:tc>
      </w:tr>
      <w:tr w:rsidR="00436D2D" w:rsidRPr="002E722F" w:rsidTr="00D86029">
        <w:trPr>
          <w:jc w:val="center"/>
        </w:trPr>
        <w:tc>
          <w:tcPr>
            <w:tcW w:w="2802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Контракт</w:t>
            </w:r>
          </w:p>
        </w:tc>
        <w:tc>
          <w:tcPr>
            <w:tcW w:w="2268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Планово-договорная,</w:t>
            </w:r>
          </w:p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учетная</w:t>
            </w:r>
          </w:p>
        </w:tc>
        <w:tc>
          <w:tcPr>
            <w:tcW w:w="4501" w:type="dxa"/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Главный документ, подробно описывающий все аспекты заключаемой сделки, как то: стороны контракта и срок его действия, наименование и количество продукта, условия поставки и платежа, общая стоимость контракта, прилагающаяся документация.</w:t>
            </w:r>
          </w:p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Часть информации содержится в приложениях.</w:t>
            </w:r>
          </w:p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Контракт составляется в двух экземплярах, имеющих одинаковую юридическую силу, по одному для каждой из сторон.</w:t>
            </w:r>
          </w:p>
        </w:tc>
      </w:tr>
      <w:tr w:rsidR="00436D2D" w:rsidRPr="002E722F" w:rsidTr="00D86029">
        <w:trPr>
          <w:jc w:val="center"/>
        </w:trPr>
        <w:tc>
          <w:tcPr>
            <w:tcW w:w="2802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Платежное поручение (авансовый платеж таможне)</w:t>
            </w:r>
          </w:p>
        </w:tc>
        <w:tc>
          <w:tcPr>
            <w:tcW w:w="2268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Учетная</w:t>
            </w:r>
          </w:p>
        </w:tc>
        <w:tc>
          <w:tcPr>
            <w:tcW w:w="4501" w:type="dxa"/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Поручение о переводе денежных средств таможне в счет оплаты предстоящих таможенных сборов, пошлин и НДС. Документ содержит записи о банках получателя и плательщика, назначении и сумме платежа.</w:t>
            </w:r>
          </w:p>
        </w:tc>
      </w:tr>
      <w:tr w:rsidR="00436D2D" w:rsidRPr="002E722F" w:rsidTr="00D86029">
        <w:trPr>
          <w:jc w:val="center"/>
        </w:trPr>
        <w:tc>
          <w:tcPr>
            <w:tcW w:w="2802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Поручение на покупку иностранной валюты</w:t>
            </w:r>
          </w:p>
        </w:tc>
        <w:tc>
          <w:tcPr>
            <w:tcW w:w="2268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Учетная</w:t>
            </w:r>
          </w:p>
        </w:tc>
        <w:tc>
          <w:tcPr>
            <w:tcW w:w="4501" w:type="dxa"/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Заполняется с целью перевода в иностранную валюту средств, предназначенных для совершения предоплаты.</w:t>
            </w:r>
          </w:p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В документе указывается перечисленная сумма в рублях, установленный на момент подачи курс, а также сумма покупаемой валюты.</w:t>
            </w:r>
          </w:p>
        </w:tc>
      </w:tr>
      <w:tr w:rsidR="00436D2D" w:rsidRPr="002E722F" w:rsidTr="00D86029">
        <w:trPr>
          <w:jc w:val="center"/>
        </w:trPr>
        <w:tc>
          <w:tcPr>
            <w:tcW w:w="2802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Выписка из лицевого счета</w:t>
            </w:r>
          </w:p>
        </w:tc>
        <w:tc>
          <w:tcPr>
            <w:tcW w:w="2268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Учетная</w:t>
            </w:r>
          </w:p>
        </w:tc>
        <w:tc>
          <w:tcPr>
            <w:tcW w:w="4501" w:type="dxa"/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Выдается в отделении банка как подтверждение совершенных операций. В документе указывается количество перечисленных денег и курс, по которому была произведена покупка валюты.</w:t>
            </w:r>
          </w:p>
        </w:tc>
      </w:tr>
      <w:tr w:rsidR="00436D2D" w:rsidRPr="002E722F" w:rsidTr="00D86029">
        <w:trPr>
          <w:jc w:val="center"/>
        </w:trPr>
        <w:tc>
          <w:tcPr>
            <w:tcW w:w="2802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Платежное поручение</w:t>
            </w:r>
          </w:p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(платеж поставщику)</w:t>
            </w:r>
          </w:p>
        </w:tc>
        <w:tc>
          <w:tcPr>
            <w:tcW w:w="2268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Учетная</w:t>
            </w:r>
          </w:p>
        </w:tc>
        <w:tc>
          <w:tcPr>
            <w:tcW w:w="4501" w:type="dxa"/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Заполняется сотрудником фирмы-импортера для совершения платежа предприятию-поставщику, подается также в банк. Документ содержит реквизиты плательщика и получателя, информацию о комиссии, расходах и для осуществления валютного контроля.</w:t>
            </w:r>
          </w:p>
        </w:tc>
      </w:tr>
      <w:tr w:rsidR="00436D2D" w:rsidRPr="002E722F" w:rsidTr="00D86029">
        <w:trPr>
          <w:jc w:val="center"/>
        </w:trPr>
        <w:tc>
          <w:tcPr>
            <w:tcW w:w="2802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Паспорт сделки</w:t>
            </w:r>
          </w:p>
        </w:tc>
        <w:tc>
          <w:tcPr>
            <w:tcW w:w="2268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Справочная</w:t>
            </w:r>
          </w:p>
        </w:tc>
        <w:tc>
          <w:tcPr>
            <w:tcW w:w="4501" w:type="dxa"/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Основной документ валютного контроля, предназначен для контроля над соблюдением оплаты и валютного законодательства со стороны банковских структур и таможни.</w:t>
            </w:r>
          </w:p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В документе указываются сведения о резиденте, реквизиты иностранного контрагента, общие сведения о контракте.</w:t>
            </w:r>
          </w:p>
        </w:tc>
      </w:tr>
      <w:tr w:rsidR="00436D2D" w:rsidRPr="002E722F" w:rsidTr="00D86029">
        <w:trPr>
          <w:jc w:val="center"/>
        </w:trPr>
        <w:tc>
          <w:tcPr>
            <w:tcW w:w="2802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Инвойс</w:t>
            </w:r>
          </w:p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(Товарная накладная)</w:t>
            </w:r>
          </w:p>
        </w:tc>
        <w:tc>
          <w:tcPr>
            <w:tcW w:w="2268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Учетная</w:t>
            </w:r>
          </w:p>
        </w:tc>
        <w:tc>
          <w:tcPr>
            <w:tcW w:w="4501" w:type="dxa"/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Документ предъявляется фирмой-экспортером и подтверждает совершение отгрузки товара и перехода прав, равно как и рисков на него к импортеру (все на обговоренных заранее условиях). В документе указываются адрес импортера, наименование и количество товара, общая сумма, место отгрузки и реквизиты продавца. На основании этого инвойса происходит оприходование товара в фирме-импортере.</w:t>
            </w:r>
          </w:p>
        </w:tc>
      </w:tr>
      <w:tr w:rsidR="00436D2D" w:rsidRPr="002E722F" w:rsidTr="00D86029">
        <w:trPr>
          <w:jc w:val="center"/>
        </w:trPr>
        <w:tc>
          <w:tcPr>
            <w:tcW w:w="2802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Счета на оплату</w:t>
            </w:r>
          </w:p>
        </w:tc>
        <w:tc>
          <w:tcPr>
            <w:tcW w:w="2268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Учетная</w:t>
            </w:r>
          </w:p>
        </w:tc>
        <w:tc>
          <w:tcPr>
            <w:tcW w:w="4501" w:type="dxa"/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 xml:space="preserve">Выставляются фирмой-транспортировщиком по факту доставки товара. Содержат записи о стоимости предоставленных услуг, их поставщике и покупателе. </w:t>
            </w:r>
          </w:p>
        </w:tc>
      </w:tr>
      <w:tr w:rsidR="00436D2D" w:rsidRPr="002E722F" w:rsidTr="00D86029">
        <w:trPr>
          <w:jc w:val="center"/>
        </w:trPr>
        <w:tc>
          <w:tcPr>
            <w:tcW w:w="2802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Грузовая таможенная декларация (ГТД)</w:t>
            </w:r>
          </w:p>
        </w:tc>
        <w:tc>
          <w:tcPr>
            <w:tcW w:w="2268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Учетная, отчетная</w:t>
            </w:r>
          </w:p>
        </w:tc>
        <w:tc>
          <w:tcPr>
            <w:tcW w:w="4501" w:type="dxa"/>
          </w:tcPr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 xml:space="preserve">В ГТД содержится подробная информация об экспортере и импортере, сумме сделки и условиях поставки, описание свойств товара и т.п. </w:t>
            </w:r>
          </w:p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 xml:space="preserve">В декларации рассчитываются суммы таможенных пошлин, сборов и НДС – на каждый товар по отдельности и в сумме. </w:t>
            </w:r>
          </w:p>
          <w:p w:rsidR="00436D2D" w:rsidRPr="002E722F" w:rsidRDefault="00436D2D" w:rsidP="00CE2AA9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ГТД проверяется таможенным органом на соответствие законодательству.</w:t>
            </w:r>
          </w:p>
        </w:tc>
      </w:tr>
      <w:tr w:rsidR="00436D2D" w:rsidRPr="002E722F" w:rsidTr="00D86029">
        <w:trPr>
          <w:jc w:val="center"/>
        </w:trPr>
        <w:tc>
          <w:tcPr>
            <w:tcW w:w="2802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Акты услуг сторонних фирм (договора и платежи по ним), относящиеся к импорту товара (таможенные брокеры, СВХ, услуги по обработке документации и т.д.)</w:t>
            </w:r>
          </w:p>
        </w:tc>
        <w:tc>
          <w:tcPr>
            <w:tcW w:w="2268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Учетная</w:t>
            </w:r>
          </w:p>
        </w:tc>
        <w:tc>
          <w:tcPr>
            <w:tcW w:w="4501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Документы могут содержать реквизиты покупателя и продавца, а также общую сумма оказываемых услуг</w:t>
            </w:r>
          </w:p>
        </w:tc>
      </w:tr>
      <w:tr w:rsidR="00436D2D" w:rsidRPr="002E722F" w:rsidTr="00D86029">
        <w:trPr>
          <w:jc w:val="center"/>
        </w:trPr>
        <w:tc>
          <w:tcPr>
            <w:tcW w:w="2802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Расшифровка счетов 10, 41, 52, 60, 76, 91</w:t>
            </w:r>
          </w:p>
        </w:tc>
        <w:tc>
          <w:tcPr>
            <w:tcW w:w="2268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Учетная</w:t>
            </w:r>
          </w:p>
        </w:tc>
        <w:tc>
          <w:tcPr>
            <w:tcW w:w="4501" w:type="dxa"/>
          </w:tcPr>
          <w:p w:rsidR="00436D2D" w:rsidRPr="002E722F" w:rsidRDefault="00436D2D" w:rsidP="00CE2AA9">
            <w:pPr>
              <w:pStyle w:val="23"/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Содержат операции по данным счетам за определенный период с указанием корреспондирующих счетов, сумм и остатков на счетах</w:t>
            </w:r>
          </w:p>
        </w:tc>
      </w:tr>
    </w:tbl>
    <w:p w:rsidR="00D86029" w:rsidRPr="002E722F" w:rsidRDefault="00D86029" w:rsidP="00CE2AA9">
      <w:pPr>
        <w:spacing w:after="0" w:line="360" w:lineRule="auto"/>
        <w:ind w:firstLine="709"/>
        <w:jc w:val="both"/>
        <w:rPr>
          <w:szCs w:val="44"/>
        </w:rPr>
      </w:pPr>
    </w:p>
    <w:p w:rsidR="00436D2D" w:rsidRPr="002E722F" w:rsidRDefault="00D86029" w:rsidP="00CE2AA9">
      <w:pPr>
        <w:spacing w:after="0" w:line="360" w:lineRule="auto"/>
        <w:ind w:firstLine="709"/>
        <w:jc w:val="both"/>
        <w:rPr>
          <w:szCs w:val="44"/>
        </w:rPr>
      </w:pPr>
      <w:r w:rsidRPr="002E722F">
        <w:rPr>
          <w:szCs w:val="44"/>
        </w:rPr>
        <w:br w:type="page"/>
      </w:r>
      <w:r w:rsidR="00436D2D" w:rsidRPr="002E722F">
        <w:rPr>
          <w:szCs w:val="44"/>
        </w:rPr>
        <w:t>4. Оценка системы внутреннего контроля аудируемого лица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t xml:space="preserve">Одним из основных объектов внимания независимых аудиторов является система внутреннего контроля (СВК) проверяемых организаций –  по той причине, что  при эффективной СВК вероятность случайных ошибок либо преднамеренных незначительна. Для проведения оценки СВУ аудиторам следует руководствоваться федеральным стандартом аудиторской деятельности ФПСАД № 8 «Оценка рисков и внутренний контроль, осуществляемый аудируемым лицом». </w:t>
      </w:r>
    </w:p>
    <w:p w:rsidR="00436D2D" w:rsidRPr="002E722F" w:rsidRDefault="00436D2D" w:rsidP="00CE2AA9">
      <w:pPr>
        <w:spacing w:after="0" w:line="360" w:lineRule="auto"/>
        <w:ind w:firstLine="709"/>
        <w:contextualSpacing w:val="0"/>
        <w:jc w:val="both"/>
        <w:rPr>
          <w:szCs w:val="28"/>
        </w:rPr>
      </w:pPr>
      <w:r w:rsidRPr="002E722F">
        <w:rPr>
          <w:szCs w:val="28"/>
        </w:rPr>
        <w:t>Итак, система внутреннего контроля – совокупность организационных мер, методик и процедур, используемых руководством аудируемого лица в качестве средств эффективного ведения финансово-хозяйственной деятельности, обеспечения сохранности активов, выявления, исправления и предотвращения ошибок информации, а также для своевременной подготовки бухгалтерской финансовой отчетности.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СВК включает в себя три части:</w:t>
      </w:r>
    </w:p>
    <w:p w:rsidR="00436D2D" w:rsidRPr="002E722F" w:rsidRDefault="00436D2D" w:rsidP="00CE2AA9">
      <w:pPr>
        <w:pStyle w:val="a3"/>
        <w:spacing w:after="0" w:line="360" w:lineRule="auto"/>
        <w:ind w:left="0" w:firstLine="709"/>
        <w:contextualSpacing w:val="0"/>
        <w:jc w:val="both"/>
        <w:rPr>
          <w:szCs w:val="28"/>
        </w:rPr>
      </w:pPr>
      <w:r w:rsidRPr="002E722F">
        <w:rPr>
          <w:szCs w:val="28"/>
        </w:rPr>
        <w:t>1) Система бухучета – конкретные формы и методы, обеспечивающие возможность ведения учета имущества и обязательств путем непрерывного, документального и взаимосвязанного их отражения в учетных регистрах на основании первичных документов.</w:t>
      </w:r>
    </w:p>
    <w:p w:rsidR="00436D2D" w:rsidRPr="002E722F" w:rsidRDefault="00436D2D" w:rsidP="00CE2AA9">
      <w:pPr>
        <w:pStyle w:val="a3"/>
        <w:spacing w:after="0" w:line="360" w:lineRule="auto"/>
        <w:ind w:left="0" w:firstLine="709"/>
        <w:contextualSpacing w:val="0"/>
        <w:jc w:val="both"/>
        <w:rPr>
          <w:szCs w:val="28"/>
        </w:rPr>
      </w:pPr>
      <w:r w:rsidRPr="002E722F">
        <w:rPr>
          <w:szCs w:val="28"/>
        </w:rPr>
        <w:t>2) Контрольная среда –  характеризует условия, в которых осуществляется внутренний контроль, а также осведомленность и действия руководства аудируемого лица, направленные на установление и поддержание СВК, и понимание важности такой системы.</w:t>
      </w:r>
    </w:p>
    <w:p w:rsidR="00436D2D" w:rsidRPr="002E722F" w:rsidRDefault="00436D2D" w:rsidP="00CE2AA9">
      <w:pPr>
        <w:pStyle w:val="a3"/>
        <w:spacing w:after="0" w:line="360" w:lineRule="auto"/>
        <w:ind w:left="0" w:firstLine="709"/>
        <w:contextualSpacing w:val="0"/>
        <w:jc w:val="both"/>
        <w:rPr>
          <w:szCs w:val="28"/>
        </w:rPr>
      </w:pPr>
      <w:r w:rsidRPr="002E722F">
        <w:rPr>
          <w:szCs w:val="28"/>
        </w:rPr>
        <w:t>3) Процедуры контроля – совокупность действий, предпринимаемых организацией для сохранения порядка и предотвращения каких-либо ошибок в процессе деятельности, таких как: подотчетность одних работников другим, внутренние проверки и сверка данных по финансово-хозяйственной деятельности, проведение инвентаризации, ограничение доступа к активам, сравнение плановых и фактических данных, внедрение ПО, позволяющего сократить для минимума влияние человеческого фактора.</w:t>
      </w:r>
    </w:p>
    <w:p w:rsidR="00436D2D" w:rsidRPr="002E722F" w:rsidRDefault="00436D2D" w:rsidP="00CE2AA9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2E722F">
        <w:rPr>
          <w:rFonts w:ascii="Times New Roman" w:hAnsi="Times New Roman"/>
          <w:b w:val="0"/>
          <w:sz w:val="28"/>
        </w:rPr>
        <w:t>При тестировании СВК аудитор должен не только установить   наличие в проверяемой организации элементов СВК, способность применяемых средств СВК эффективно препятствовать возникновению существенных искажений бухгалтерской отчетности и обнаруживать их. Необходимо обратить внимание на то, работают ли средства контроля с одинаковой эффективностью на протяжении всего отчетного периода. Некоторые средства контроля могут быть эффективны в целом, но не обеспечивать результативности в отдельные периоды времени в связи с кратковременными заменами работников, ответственных за осуществление определенных  средств контроля; по причине сезонного характера деятельности аудируемого лица; возможностью  единичных и случайных ошибок, иных факторов.</w:t>
      </w:r>
    </w:p>
    <w:p w:rsidR="00436D2D" w:rsidRPr="002E722F" w:rsidRDefault="00436D2D" w:rsidP="00CE2AA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>Тестирование средств контроля, в частности, включает:</w:t>
      </w:r>
    </w:p>
    <w:p w:rsidR="00436D2D" w:rsidRPr="002E722F" w:rsidRDefault="00436D2D" w:rsidP="00CE2AA9">
      <w:pPr>
        <w:pStyle w:val="ConsNormal"/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 xml:space="preserve"> проверку документов, отражающих проведение финансово - хозяйственных операций, и получение в связи с этим аудиторских доказательств того, что средства контроля функционировали надлежащим образом;</w:t>
      </w:r>
    </w:p>
    <w:p w:rsidR="00436D2D" w:rsidRPr="002E722F" w:rsidRDefault="00436D2D" w:rsidP="00CE2AA9">
      <w:pPr>
        <w:pStyle w:val="ConsNormal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 xml:space="preserve"> опросы и наблюдение за оформлением операций с целью получить аудиторские доказательства функционирования средств контроля;</w:t>
      </w:r>
    </w:p>
    <w:p w:rsidR="00436D2D" w:rsidRPr="002E722F" w:rsidRDefault="00436D2D" w:rsidP="00CE2AA9">
      <w:pPr>
        <w:pStyle w:val="ConsNormal"/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 xml:space="preserve"> использование результатов других аудиторских процедур для получения данных о работоспособности средств контроля;</w:t>
      </w:r>
    </w:p>
    <w:p w:rsidR="00436D2D" w:rsidRPr="002E722F" w:rsidRDefault="00436D2D" w:rsidP="00CE2AA9">
      <w:pPr>
        <w:pStyle w:val="ConsNormal"/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 xml:space="preserve"> использование данных аудита прошлых лет.</w:t>
      </w:r>
    </w:p>
    <w:p w:rsidR="00436D2D" w:rsidRPr="002E722F" w:rsidRDefault="00436D2D" w:rsidP="00CE2AA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>Результаты оценки СВК, формирование мнения аудитора об ее надежности и эффективности СВК используются при планировании и осуществлении аудита, определении состава и количества процедур аудиторской программы, размера выборки, определении вида аудиторского заключения. Чем в большей степени аудитор собирается опираться при подготовке своего мнения на определенные средства контроля, тем тщательнее он должен проверять их надежность и эффективность.</w:t>
      </w:r>
    </w:p>
    <w:p w:rsidR="00436D2D" w:rsidRPr="002E722F" w:rsidRDefault="00436D2D" w:rsidP="00CE2AA9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2E722F">
        <w:rPr>
          <w:rFonts w:ascii="Times New Roman" w:hAnsi="Times New Roman"/>
          <w:b w:val="0"/>
          <w:sz w:val="28"/>
        </w:rPr>
        <w:t xml:space="preserve">Один из наиболее распространенных тестов средств контроля предлагает ввести таблицу из четырех колонок: существительного, характеризующего перечень элементов СВК, а также трех столбцов –  «да», «нет», «не характерно». «Да» соответствует наличию в обследуемой организации соответствующего элемента, «нет» - отсутствию указанного в перечне элемента, «не  характерно» - свидетельствует, что в организации нет потребности в элементе. </w:t>
      </w:r>
    </w:p>
    <w:p w:rsidR="00436D2D" w:rsidRPr="002E722F" w:rsidRDefault="00436D2D" w:rsidP="00CE2AA9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2E722F">
        <w:rPr>
          <w:rFonts w:ascii="Times New Roman" w:hAnsi="Times New Roman"/>
          <w:b w:val="0"/>
          <w:sz w:val="28"/>
        </w:rPr>
        <w:t>Процентное отношение положительных ответов к общему количеству тестов, участвующих в опросе, используется для оценки СВК. Если данное отношение составляет 40-60%, оценку СВК можно определить как среднюю, при отношении менее 40% - уровень СВК квалифицируется  как низкий, при отношении более 60% - как высокий.</w:t>
      </w:r>
    </w:p>
    <w:p w:rsidR="00436D2D" w:rsidRPr="002E722F" w:rsidRDefault="00436D2D" w:rsidP="00CE2AA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722F">
        <w:rPr>
          <w:rFonts w:ascii="Times New Roman" w:hAnsi="Times New Roman"/>
          <w:sz w:val="28"/>
        </w:rPr>
        <w:t>На этапе первичной оценки надежности СВК предлагается проанализировать такие части, как организационная структура, разделение обязанностей, полномочий и ответственности, кадровая политика, мероприятия, проводимые СВК, и т.п. Подтверждение оценки СВК производится в том случае, если на первом этапе уровень СВК оценен не ниже, чем средний. При этом оценке подлежат такие существенные элементы, как учетная система, договорные обязательства, средства контроля в системе компьютерной обработки данных.</w:t>
      </w:r>
    </w:p>
    <w:p w:rsidR="00436D2D" w:rsidRPr="002E722F" w:rsidRDefault="00436D2D" w:rsidP="00CE2AA9">
      <w:pPr>
        <w:pStyle w:val="a3"/>
        <w:spacing w:after="0" w:line="360" w:lineRule="auto"/>
        <w:ind w:left="0" w:firstLine="709"/>
        <w:contextualSpacing w:val="0"/>
        <w:jc w:val="both"/>
      </w:pPr>
      <w:r w:rsidRPr="002E722F">
        <w:t>Изложенную методику отличает простота в практическом использовании, наличие не только качественных, но и количественных оценок надежности и эффективности системы внутреннего контроля.</w:t>
      </w:r>
    </w:p>
    <w:p w:rsidR="00436D2D" w:rsidRPr="002E722F" w:rsidRDefault="00DC3EA7" w:rsidP="00CE2AA9">
      <w:pPr>
        <w:tabs>
          <w:tab w:val="left" w:pos="851"/>
        </w:tabs>
        <w:spacing w:after="0" w:line="360" w:lineRule="auto"/>
        <w:ind w:firstLine="709"/>
        <w:jc w:val="both"/>
        <w:rPr>
          <w:szCs w:val="44"/>
        </w:rPr>
      </w:pPr>
      <w:r w:rsidRPr="002E722F">
        <w:rPr>
          <w:szCs w:val="44"/>
        </w:rPr>
        <w:br w:type="page"/>
      </w:r>
      <w:r w:rsidR="00436D2D" w:rsidRPr="002E722F">
        <w:rPr>
          <w:szCs w:val="44"/>
        </w:rPr>
        <w:t>5. Определение существенности и аудиторского риска</w:t>
      </w:r>
    </w:p>
    <w:p w:rsidR="00436D2D" w:rsidRPr="002E722F" w:rsidRDefault="00436D2D" w:rsidP="00CE2AA9">
      <w:pPr>
        <w:tabs>
          <w:tab w:val="left" w:pos="851"/>
        </w:tabs>
        <w:spacing w:after="0" w:line="360" w:lineRule="auto"/>
        <w:ind w:firstLine="709"/>
        <w:jc w:val="both"/>
        <w:rPr>
          <w:szCs w:val="36"/>
        </w:rPr>
      </w:pPr>
    </w:p>
    <w:p w:rsidR="00436D2D" w:rsidRPr="002E722F" w:rsidRDefault="00436D2D" w:rsidP="00CE2AA9">
      <w:pPr>
        <w:tabs>
          <w:tab w:val="left" w:pos="851"/>
        </w:tabs>
        <w:spacing w:after="0" w:line="360" w:lineRule="auto"/>
        <w:ind w:firstLine="709"/>
        <w:jc w:val="both"/>
        <w:rPr>
          <w:szCs w:val="36"/>
        </w:rPr>
      </w:pPr>
      <w:r w:rsidRPr="002E722F">
        <w:rPr>
          <w:szCs w:val="36"/>
        </w:rPr>
        <w:t>5.1 Определение существенности</w:t>
      </w:r>
    </w:p>
    <w:p w:rsidR="00436D2D" w:rsidRPr="002E722F" w:rsidRDefault="00436D2D" w:rsidP="00CE2AA9">
      <w:pPr>
        <w:tabs>
          <w:tab w:val="left" w:pos="851"/>
        </w:tabs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436D2D" w:rsidP="00CE2AA9">
      <w:pPr>
        <w:tabs>
          <w:tab w:val="left" w:pos="851"/>
        </w:tabs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В ходе проведения проверок аудиторские организации не должны устанавливать достоверность отчетности с абсолютной точностью, но обязаны установить ее достоверность во всех существенных отношениях, то есть такую  степень точности показателей, при которо</w:t>
      </w:r>
      <w:r w:rsidR="00001F36" w:rsidRPr="002E722F">
        <w:rPr>
          <w:szCs w:val="28"/>
        </w:rPr>
        <w:t>й квалифицирован</w:t>
      </w:r>
      <w:r w:rsidRPr="002E722F">
        <w:rPr>
          <w:szCs w:val="28"/>
        </w:rPr>
        <w:t xml:space="preserve">ный пользователь этой отчетности сможет делать на ее основе правильные выводы и принимать правильные экономические решения. </w:t>
      </w:r>
    </w:p>
    <w:p w:rsidR="00436D2D" w:rsidRPr="002E722F" w:rsidRDefault="00436D2D" w:rsidP="00CE2AA9">
      <w:pPr>
        <w:tabs>
          <w:tab w:val="left" w:pos="851"/>
        </w:tabs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Здесь вводится понятие существенности –  предельное значение ошибки бухгалтерской отчетности, начиная с которой к</w:t>
      </w:r>
      <w:r w:rsidR="00001F36" w:rsidRPr="002E722F">
        <w:rPr>
          <w:szCs w:val="28"/>
        </w:rPr>
        <w:t>валифи</w:t>
      </w:r>
      <w:r w:rsidRPr="002E722F">
        <w:rPr>
          <w:szCs w:val="28"/>
        </w:rPr>
        <w:t>цированный пользователь этой отчетности с большой степенью вероятности не сможет делать на ее основе правильные выводы решения.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При оценке существенности преследуются следующие цели:</w:t>
      </w:r>
    </w:p>
    <w:p w:rsidR="00436D2D" w:rsidRPr="002E722F" w:rsidRDefault="00436D2D" w:rsidP="00CE2AA9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определение приемлемого уровня искажений в финансовой отчетности;</w:t>
      </w:r>
    </w:p>
    <w:p w:rsidR="00436D2D" w:rsidRPr="002E722F" w:rsidRDefault="00436D2D" w:rsidP="00CE2AA9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оценка объема предстоящего аудита;</w:t>
      </w:r>
    </w:p>
    <w:p w:rsidR="00436D2D" w:rsidRPr="002E722F" w:rsidRDefault="00436D2D" w:rsidP="00CE2AA9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szCs w:val="28"/>
        </w:rPr>
      </w:pPr>
      <w:r w:rsidRPr="002E722F">
        <w:rPr>
          <w:szCs w:val="28"/>
        </w:rPr>
        <w:t>оценка последствий выявленных искажений.</w:t>
      </w:r>
    </w:p>
    <w:p w:rsidR="00436D2D" w:rsidRPr="002E722F" w:rsidRDefault="00436D2D" w:rsidP="00CE2AA9">
      <w:pPr>
        <w:tabs>
          <w:tab w:val="left" w:pos="851"/>
        </w:tabs>
        <w:spacing w:after="0" w:line="360" w:lineRule="auto"/>
        <w:ind w:firstLine="709"/>
        <w:jc w:val="both"/>
        <w:rPr>
          <w:szCs w:val="28"/>
        </w:rPr>
      </w:pPr>
      <w:r w:rsidRPr="002E722F">
        <w:t>В ФПСАД № 4 не приводятся методики оценки существенности. Аудиторским фирмам рекомендуется для этой цели разрабатывать внутренние аудиторские стандарты на основе соответствующих федеральных правил, однако в отечественном стандарте аудита «Существенность в аудите» дана рекомендуемая методика расчета уровня существенности искажений информации по бухгалтерской отчетности в целом.</w:t>
      </w:r>
    </w:p>
    <w:p w:rsidR="00436D2D" w:rsidRPr="002E722F" w:rsidRDefault="00436D2D" w:rsidP="00CE2AA9">
      <w:pPr>
        <w:tabs>
          <w:tab w:val="left" w:pos="851"/>
        </w:tabs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Пример расчета уровня существенности</w:t>
      </w:r>
    </w:p>
    <w:p w:rsidR="00436D2D" w:rsidRPr="002E722F" w:rsidRDefault="00436D2D" w:rsidP="00CE2AA9">
      <w:pPr>
        <w:tabs>
          <w:tab w:val="left" w:pos="851"/>
        </w:tabs>
        <w:spacing w:after="0" w:line="360" w:lineRule="auto"/>
        <w:ind w:firstLine="709"/>
        <w:jc w:val="both"/>
        <w:rPr>
          <w:szCs w:val="28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2688"/>
        <w:gridCol w:w="2334"/>
        <w:gridCol w:w="1691"/>
        <w:gridCol w:w="2076"/>
      </w:tblGrid>
      <w:tr w:rsidR="00436D2D" w:rsidRPr="002E722F" w:rsidTr="00D86029">
        <w:trPr>
          <w:trHeight w:val="2394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6D2D" w:rsidRPr="002E722F" w:rsidRDefault="00436D2D" w:rsidP="00907FDB">
            <w:pPr>
              <w:pStyle w:val="2"/>
              <w:spacing w:before="0" w:line="360" w:lineRule="auto"/>
              <w:ind w:firstLine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8"/>
              </w:rPr>
            </w:pPr>
            <w:r w:rsidRPr="002E722F">
              <w:rPr>
                <w:rFonts w:ascii="Times New Roman" w:hAnsi="Times New Roman"/>
                <w:b w:val="0"/>
                <w:color w:val="auto"/>
                <w:sz w:val="20"/>
                <w:szCs w:val="28"/>
              </w:rPr>
              <w:t>Базовый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Значение показателя по отчетности клиента</w:t>
            </w:r>
          </w:p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(тыс руб.)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Доля</w:t>
            </w:r>
          </w:p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сущест-</w:t>
            </w:r>
          </w:p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венности</w:t>
            </w:r>
          </w:p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(%)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Значение, применяемое для расчета уровня существенности</w:t>
            </w:r>
          </w:p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(тыс.руб.)</w:t>
            </w:r>
          </w:p>
        </w:tc>
      </w:tr>
      <w:tr w:rsidR="00436D2D" w:rsidRPr="002E722F" w:rsidTr="00D86029"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Балансовая прибыль пердприятия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21 289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1 064</w:t>
            </w:r>
          </w:p>
        </w:tc>
      </w:tr>
      <w:tr w:rsidR="00436D2D" w:rsidRPr="002E722F" w:rsidTr="00D86029"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Выручка от продаж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135 968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2 719</w:t>
            </w:r>
          </w:p>
        </w:tc>
      </w:tr>
      <w:tr w:rsidR="00436D2D" w:rsidRPr="002E722F" w:rsidTr="00D86029"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Валюта баланса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128 038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2 561</w:t>
            </w:r>
          </w:p>
        </w:tc>
      </w:tr>
      <w:tr w:rsidR="00436D2D" w:rsidRPr="002E722F" w:rsidTr="00D86029"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Собственный капитал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20 500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2 050</w:t>
            </w:r>
          </w:p>
        </w:tc>
      </w:tr>
      <w:tr w:rsidR="00436D2D" w:rsidRPr="002E722F" w:rsidTr="00D86029"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Общие затраты предприятия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101 341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2 027</w:t>
            </w:r>
          </w:p>
        </w:tc>
      </w:tr>
    </w:tbl>
    <w:p w:rsidR="00436D2D" w:rsidRPr="002E722F" w:rsidRDefault="00436D2D" w:rsidP="00CE2AA9">
      <w:pPr>
        <w:pStyle w:val="23"/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rPr>
          <w:szCs w:val="28"/>
        </w:rPr>
        <w:t xml:space="preserve">Уровень существенности рассчитывается следующим образом. </w:t>
      </w:r>
      <w:r w:rsidRPr="002E722F">
        <w:t xml:space="preserve">Во второй столбец записываются показатели, взятые из бухгалтерской отчетности экономического субъекта. В третий пишутся цифры, характеризующие уровень существенности базовых показателей, они  должны быть определены внутренней инструкцией аудиторской фирмы и применяться на постоянной основе. Применяемые при нахождении уровня существенности значения показателей определяются путем умножения значений показателей бухгалтерской отчетности на уровень их существенности и записываются в четвертом столбце. 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t>Далее находится с</w:t>
      </w:r>
      <w:r w:rsidRPr="002E722F">
        <w:rPr>
          <w:szCs w:val="28"/>
        </w:rPr>
        <w:t>реднее арифметическое значение показателей, применяемых для расчета уровня существенности:</w:t>
      </w:r>
    </w:p>
    <w:p w:rsidR="00D86029" w:rsidRPr="002E722F" w:rsidRDefault="00D86029" w:rsidP="00CE2AA9">
      <w:pPr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(3184 + 3413 + 1605 + 4350 + 2051) / 5 = 2921 тыс. руб.</w:t>
      </w:r>
    </w:p>
    <w:p w:rsidR="00D86029" w:rsidRPr="002E722F" w:rsidRDefault="00D86029" w:rsidP="00CE2AA9">
      <w:pPr>
        <w:pStyle w:val="23"/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436D2D" w:rsidP="00CE2AA9">
      <w:pPr>
        <w:pStyle w:val="23"/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Наименьшее значение отличается от среднего на:</w:t>
      </w:r>
    </w:p>
    <w:p w:rsidR="00D86029" w:rsidRPr="002E722F" w:rsidRDefault="00D86029" w:rsidP="00CE2AA9">
      <w:pPr>
        <w:pStyle w:val="23"/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436D2D" w:rsidP="00CE2AA9">
      <w:pPr>
        <w:pStyle w:val="23"/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(2921 - 1605) / 2921 x 100% = 45%.</w:t>
      </w:r>
    </w:p>
    <w:p w:rsidR="00D86029" w:rsidRPr="002E722F" w:rsidRDefault="00D86029" w:rsidP="00CE2AA9">
      <w:pPr>
        <w:spacing w:after="0" w:line="360" w:lineRule="auto"/>
        <w:ind w:firstLine="709"/>
        <w:jc w:val="both"/>
      </w:pP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Наибольшее значение отличается от среднего на:</w:t>
      </w:r>
    </w:p>
    <w:p w:rsidR="00D86029" w:rsidRPr="002E722F" w:rsidRDefault="00D86029" w:rsidP="00CE2AA9">
      <w:pPr>
        <w:spacing w:after="0" w:line="360" w:lineRule="auto"/>
        <w:ind w:firstLine="709"/>
        <w:jc w:val="both"/>
      </w:pP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(4350 - 2921) / 2921 x 100% = 49%.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Поскольку и в том, и в другом случаях отклонение наибольшего и наименьшего показателей от среднего и от всех остальных является значительным, принимаем решение отбросить значения 1605 тыс. руб. и 4350 тыс. руб. и не использовать их при дальнейшем усреднении. Находим новую среднюю величину:</w:t>
      </w:r>
    </w:p>
    <w:p w:rsidR="00D86029" w:rsidRPr="002E722F" w:rsidRDefault="00D86029" w:rsidP="00CE2AA9">
      <w:pPr>
        <w:spacing w:after="0" w:line="360" w:lineRule="auto"/>
        <w:ind w:firstLine="709"/>
        <w:jc w:val="both"/>
      </w:pP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(3184 + 3413 + 2051) / 3 = 2883 тыс. руб.</w:t>
      </w:r>
    </w:p>
    <w:p w:rsidR="00D86029" w:rsidRPr="002E722F" w:rsidRDefault="00D86029" w:rsidP="00CE2AA9">
      <w:pPr>
        <w:spacing w:after="0" w:line="360" w:lineRule="auto"/>
        <w:ind w:firstLine="709"/>
        <w:jc w:val="both"/>
      </w:pP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В данном примере отбрасывание одновременно наибольшего и наименьшего показателей мало сказалось на среднем значении, однако в общем случае может оказаться иначе.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 xml:space="preserve">Полученную величину допустимо округлить до 3000 тыс. руб. и использовать данный количественный показатель в качестве значения уровня существенности. 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36"/>
        </w:rPr>
      </w:pPr>
      <w:r w:rsidRPr="002E722F">
        <w:rPr>
          <w:szCs w:val="36"/>
        </w:rPr>
        <w:t>5.2 Определение аудиторского риска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Аудиторский риск</w:t>
      </w:r>
      <w:r w:rsidRPr="002E722F">
        <w:rPr>
          <w:iCs/>
        </w:rPr>
        <w:t xml:space="preserve"> — </w:t>
      </w:r>
      <w:r w:rsidRPr="002E722F">
        <w:t>это предпринимательский риск аудитора (аудиторской фирмы), который означает вероятность наличия в бухгалтерской отчетности экономического субъекта невыявленных существенных ошибок и искажений после подтверждения ее достоверности или же вероятность признания существенных искажений в ней, в то время как на самом деле такие искажения отсутствуют. При проведении аудита аудитор должен принять необходимые меры для того, чтобы снизить аудиторский риск до разумного минимального уровня.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Между существенностью и аудиторским риском существует обратная зависимость, то есть чем выше уровень существенности, тем ниже уровень аудиторского риска, и наоборот. Обратная зависимость между существенностью и аудиторским риском принимается во внимание аудитором при определении характера, сроков проведения и объема аудиторских процедур.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Аудиторский риск состоит из трех компонентов:</w:t>
      </w:r>
    </w:p>
    <w:p w:rsidR="00436D2D" w:rsidRPr="002E722F" w:rsidRDefault="00436D2D" w:rsidP="00CE2AA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</w:pPr>
      <w:r w:rsidRPr="002E722F">
        <w:t>Внутрихозяйственный риск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Под внутрихозяйственным риском понимается субъективно определяемая аудитором вероятность появления существенных искажений в данном бухгалтерском счете, статье баланса, однотипной группе хозяйственных операций, отчетности экономического субъекта в целом до того, как такие искажения будут выявлены средствами системы внутреннего контроля или при условии допущения отсутствия таких средств.</w:t>
      </w:r>
    </w:p>
    <w:p w:rsidR="00436D2D" w:rsidRPr="002E722F" w:rsidRDefault="00436D2D" w:rsidP="00CE2AA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</w:pPr>
      <w:r w:rsidRPr="002E722F">
        <w:t xml:space="preserve">Риск средств контроля 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Под риском средств контроля (контрольным риском) понимается субъективно определяемая аудитором вероятность того, что существующие на предприятии и регулярно применяемые средства системы бухгалтерского учета и системы внутреннего контроля не будут своевременно обнаруживать и исправлять нарушения. Риск средств контроля характеризует степень надежности системы бухгалтерского учета и внутреннего контроля на предприятии.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Аудитор тестирует средства контроля во всех случаях, кроме тех, когда он оценивает риск средств контроля как высокий. Чем в большей степени аудитор собирается опираться при подготовке своего мнения на определенные средства контроля, тем тщательнее он должен проверять их надежность и эффективность.</w:t>
      </w:r>
    </w:p>
    <w:p w:rsidR="00436D2D" w:rsidRPr="002E722F" w:rsidRDefault="00436D2D" w:rsidP="00CE2AA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</w:pPr>
      <w:r w:rsidRPr="002E722F">
        <w:t>Риск необнаружения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Под риском необнаружения понимается субъективно определяемая  аудитором вероятность того, что применяемые в ходе проверки аудиторские процедуры не позволят обнаружить реально существующие нарушения, имеющие существенный характер по отдельности либо в совокупности. Риск необнаружения является показателем эффективности и качества работы аудитора и зависит от порядка проведения конкретной проверки, а также от квалификации аудиторов и степени их предыдущего знакомства с деятельностью проверяемого экономического субъекта.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Существуют два основных метода оценки аудиторского риска – оценочный (интуитивный) и количественный.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rPr>
          <w:iCs/>
        </w:rPr>
        <w:t xml:space="preserve">Оценочный (интуитивный) метод, </w:t>
      </w:r>
      <w:r w:rsidRPr="002E722F">
        <w:t xml:space="preserve">заключается в том, что аудиторы, исходя из собственного опыта и знания клиента, определяют аудиторский риск на основании отчетности в целом или отдельных групп операций </w:t>
      </w:r>
      <w:r w:rsidR="0027693E" w:rsidRPr="002E722F">
        <w:t>как высокий, вероятный и малове</w:t>
      </w:r>
      <w:r w:rsidRPr="002E722F">
        <w:t>роятный и используют эту оценку в планировании аудита.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rPr>
          <w:iCs/>
        </w:rPr>
        <w:t xml:space="preserve">Количественный метод </w:t>
      </w:r>
      <w:r w:rsidRPr="002E722F">
        <w:t>предполагает количественный расчет многочисленных моделей аудиторского риска. Рассмотрим наиболее распространенную схему:</w:t>
      </w:r>
    </w:p>
    <w:p w:rsidR="0027693E" w:rsidRPr="002E722F" w:rsidRDefault="0027693E" w:rsidP="00CE2AA9">
      <w:pPr>
        <w:spacing w:after="0" w:line="360" w:lineRule="auto"/>
        <w:ind w:firstLine="709"/>
        <w:jc w:val="both"/>
      </w:pP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АР=СР*РК*РН</w:t>
      </w:r>
    </w:p>
    <w:p w:rsidR="0027693E" w:rsidRPr="002E722F" w:rsidRDefault="0027693E" w:rsidP="00CE2AA9">
      <w:pPr>
        <w:spacing w:after="0" w:line="360" w:lineRule="auto"/>
        <w:ind w:firstLine="709"/>
        <w:jc w:val="both"/>
      </w:pP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 xml:space="preserve">где </w:t>
      </w:r>
      <w:r w:rsidRPr="002E722F">
        <w:rPr>
          <w:iCs/>
        </w:rPr>
        <w:t xml:space="preserve">АР </w:t>
      </w:r>
      <w:r w:rsidRPr="002E722F">
        <w:t>— аудиторский риск;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rPr>
          <w:iCs/>
        </w:rPr>
        <w:t xml:space="preserve">СР  — </w:t>
      </w:r>
      <w:r w:rsidRPr="002E722F">
        <w:t>собственный риск;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rPr>
          <w:iCs/>
        </w:rPr>
        <w:t xml:space="preserve">РК — </w:t>
      </w:r>
      <w:r w:rsidRPr="002E722F">
        <w:t>контрольный риск (риск средств контроля);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rPr>
          <w:iCs/>
        </w:rPr>
        <w:t>РН</w:t>
      </w:r>
      <w:r w:rsidRPr="002E722F">
        <w:t xml:space="preserve"> — риск необнаружения (процедурный риск).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iCs/>
        </w:rPr>
      </w:pPr>
      <w:r w:rsidRPr="002E722F">
        <w:t xml:space="preserve">Предварительно установленная величина аудиторского риска отражает склонность аудитора к риску, его представление о той экономической среде, в которой он действует. </w:t>
      </w:r>
      <w:r w:rsidRPr="002E722F">
        <w:rPr>
          <w:iCs/>
        </w:rPr>
        <w:t>Если, например, вероятность того, что клиент см</w:t>
      </w:r>
      <w:r w:rsidR="0027693E" w:rsidRPr="002E722F">
        <w:rPr>
          <w:iCs/>
        </w:rPr>
        <w:t>ожет возбудить судебный иск про</w:t>
      </w:r>
      <w:r w:rsidRPr="002E722F">
        <w:rPr>
          <w:iCs/>
        </w:rPr>
        <w:t>тив аудитора или предпринят</w:t>
      </w:r>
      <w:r w:rsidR="0027693E" w:rsidRPr="002E722F">
        <w:rPr>
          <w:iCs/>
        </w:rPr>
        <w:t>ь другие действия, которые суще</w:t>
      </w:r>
      <w:r w:rsidRPr="002E722F">
        <w:rPr>
          <w:iCs/>
        </w:rPr>
        <w:t>ственно могут сказаться на его репутации, достаточно мала, то предварительно установленная</w:t>
      </w:r>
      <w:r w:rsidR="0027693E" w:rsidRPr="002E722F">
        <w:rPr>
          <w:iCs/>
        </w:rPr>
        <w:t xml:space="preserve"> величина аудиторского риска мо</w:t>
      </w:r>
      <w:r w:rsidRPr="002E722F">
        <w:rPr>
          <w:iCs/>
        </w:rPr>
        <w:t>жет быть большой. Кроме того, аудиторский риск является предпринимательским риском аудиторской</w:t>
      </w:r>
      <w:r w:rsidR="0027693E" w:rsidRPr="002E722F">
        <w:rPr>
          <w:iCs/>
        </w:rPr>
        <w:t xml:space="preserve"> фирмы, поэтому его величина от</w:t>
      </w:r>
      <w:r w:rsidRPr="002E722F">
        <w:rPr>
          <w:iCs/>
        </w:rPr>
        <w:t>ражает положение фирмы на рынке аудиторских услуг и степень конкурентности рынка, что также нужно учитывать.</w:t>
      </w:r>
    </w:p>
    <w:p w:rsidR="00436D2D" w:rsidRPr="002E722F" w:rsidRDefault="00436D2D" w:rsidP="00CE2AA9">
      <w:pPr>
        <w:spacing w:after="0" w:line="360" w:lineRule="auto"/>
        <w:ind w:firstLine="709"/>
        <w:contextualSpacing w:val="0"/>
        <w:jc w:val="both"/>
      </w:pPr>
      <w:r w:rsidRPr="002E722F">
        <w:t>Для практического применения можно применять четыре уровня риска необнаружения:</w:t>
      </w:r>
    </w:p>
    <w:p w:rsidR="00436D2D" w:rsidRPr="002E722F" w:rsidRDefault="00436D2D" w:rsidP="00CE2AA9">
      <w:pPr>
        <w:spacing w:after="0" w:line="360" w:lineRule="auto"/>
        <w:ind w:firstLine="709"/>
        <w:contextualSpacing w:val="0"/>
        <w:jc w:val="both"/>
      </w:pPr>
      <w:r w:rsidRPr="002E722F">
        <w:t>1) Минимальный риск — в случае, когда СВК клиента предварительно была оценена аудиторской фирмой как эффективная и аудитор полагается на нее, делая акцент на проверке контроля, а не на детальных процедурах;</w:t>
      </w:r>
    </w:p>
    <w:p w:rsidR="00436D2D" w:rsidRPr="002E722F" w:rsidRDefault="00436D2D" w:rsidP="00CE2AA9">
      <w:pPr>
        <w:spacing w:after="0" w:line="360" w:lineRule="auto"/>
        <w:ind w:firstLine="709"/>
        <w:contextualSpacing w:val="0"/>
        <w:jc w:val="both"/>
      </w:pPr>
      <w:r w:rsidRPr="002E722F">
        <w:t>2) Низкий риск — в случае, когда СВК клиента была оценена аудиторской фирмой как эффективная, но аудитор не полагается полностью на нее, планируя детальные процедуры, достаточные для обнаружения возможных значительных ошибок;</w:t>
      </w:r>
    </w:p>
    <w:p w:rsidR="00436D2D" w:rsidRPr="002E722F" w:rsidRDefault="00436D2D" w:rsidP="00CE2AA9">
      <w:pPr>
        <w:spacing w:after="0" w:line="360" w:lineRule="auto"/>
        <w:ind w:firstLine="709"/>
        <w:contextualSpacing w:val="0"/>
        <w:jc w:val="both"/>
      </w:pPr>
      <w:r w:rsidRPr="002E722F">
        <w:t>3) Средний риск — в случае, когда СВК клиента была оценена аудитором как неэффективная и аудитор планирует детальные процедуры;</w:t>
      </w:r>
    </w:p>
    <w:p w:rsidR="00436D2D" w:rsidRPr="002E722F" w:rsidRDefault="00436D2D" w:rsidP="00CE2AA9">
      <w:pPr>
        <w:spacing w:after="0" w:line="360" w:lineRule="auto"/>
        <w:ind w:firstLine="709"/>
        <w:contextualSpacing w:val="0"/>
        <w:jc w:val="both"/>
      </w:pPr>
      <w:r w:rsidRPr="002E722F">
        <w:t>4) Высокий риск — в случае отсутствия СВК клиента планируется практически сплошная проверка.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Для снижения аудиторского риска следует руководствоваться правилом: чем больше аудитор прове</w:t>
      </w:r>
      <w:r w:rsidR="004B4347" w:rsidRPr="002E722F">
        <w:t>ряет элементов, предназна</w:t>
      </w:r>
      <w:r w:rsidRPr="002E722F">
        <w:t xml:space="preserve">ченных для полного изучения, </w:t>
      </w:r>
      <w:r w:rsidR="004B4347" w:rsidRPr="002E722F">
        <w:t>и чем более убедительным являет</w:t>
      </w:r>
      <w:r w:rsidRPr="002E722F">
        <w:t>ся анализ, тем меньшим будет объем выборки.</w:t>
      </w:r>
    </w:p>
    <w:p w:rsidR="00436D2D" w:rsidRPr="002E722F" w:rsidRDefault="003913FC" w:rsidP="00CE2AA9">
      <w:pPr>
        <w:pStyle w:val="a5"/>
        <w:numPr>
          <w:ilvl w:val="1"/>
          <w:numId w:val="0"/>
        </w:numPr>
        <w:tabs>
          <w:tab w:val="left" w:pos="9496"/>
        </w:tabs>
        <w:spacing w:after="0" w:line="360" w:lineRule="auto"/>
        <w:ind w:firstLine="709"/>
        <w:jc w:val="both"/>
        <w:rPr>
          <w:szCs w:val="44"/>
        </w:rPr>
      </w:pPr>
      <w:r w:rsidRPr="002E722F">
        <w:rPr>
          <w:szCs w:val="44"/>
        </w:rPr>
        <w:br w:type="page"/>
      </w:r>
      <w:r w:rsidR="00436D2D" w:rsidRPr="002E722F">
        <w:rPr>
          <w:szCs w:val="44"/>
        </w:rPr>
        <w:t>6. Разработка общего плана аудита</w:t>
      </w:r>
    </w:p>
    <w:p w:rsidR="00436D2D" w:rsidRPr="002E722F" w:rsidRDefault="00436D2D" w:rsidP="00CE2AA9">
      <w:pPr>
        <w:pStyle w:val="a5"/>
        <w:numPr>
          <w:ilvl w:val="1"/>
          <w:numId w:val="0"/>
        </w:numPr>
        <w:tabs>
          <w:tab w:val="left" w:pos="9496"/>
        </w:tabs>
        <w:spacing w:after="0" w:line="360" w:lineRule="auto"/>
        <w:ind w:firstLine="709"/>
        <w:jc w:val="both"/>
      </w:pP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Необходимым условием квалифицированного и качественного осуществления аудиторской деятельности, снижения ее трудоемкости и аудиторского риска является разработка аудиторской организацией планов и программ аудиторской деятельности. Планирование аудитором своей работы способствует тому, чтобы важным областям аудита было уделено необходимое внимание, чтобы были выявлены потенциальные проблемы и работа была выполнена с оптимальными затратами, качественно и своевременно. Планирование позволяет эффективно распределять работу между членами группы специалистов, участвующих в аудиторской проверке, а также координировать такую работу.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Итак, план аудита – это документ, в котором отражается перечень подлежащих выполнению в ходе аудита работ, исполнители работ и сроки исполнения. Аудитору необходимо составить и документально оформить общий план аудита, описав в нем предполагаемые объем и порядок проведения аудиторской проверки. Общий план аудита должен быть достаточно подробным для того, чтобы служить руководством при разработке программы аудита.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Федеральное Правило (Стандарт) Аудита №3 «Планирование аудита» раскрывает основные понятия планирования аудита, излагает содержание принципов планирования, требования к формам и содержанию аудиторской деятельности, указывает факторы, учитываемые при планировании и другие положения, которые необходимо изучить для ответов на вопросы и успешного выполнения заданий.</w:t>
      </w:r>
    </w:p>
    <w:p w:rsidR="00436D2D" w:rsidRPr="002E722F" w:rsidRDefault="00436D2D" w:rsidP="00CE2AA9">
      <w:pPr>
        <w:spacing w:after="0" w:line="360" w:lineRule="auto"/>
        <w:ind w:firstLine="709"/>
        <w:jc w:val="both"/>
      </w:pPr>
      <w:r w:rsidRPr="002E722F">
        <w:t>Несмотря на то, что форма и содержание плана аудита стандартом второго поколения не определяется, но исходя из  рекомендаций стандарта первого поколения следует, что в общем плане аудита в заголовочной части фиксируются сведения о проверяемой организации, периоде аудита, о руководителе и составе аудиторской группы; в табличной  части рекомендуется отражать планируемые виды аудиторских работ, период их проведения, исполнителей; общий план подписывается руководителями аудиторской организации и аудиторской  группы.</w:t>
      </w:r>
    </w:p>
    <w:p w:rsidR="003913FC" w:rsidRPr="002E722F" w:rsidRDefault="003913FC" w:rsidP="00CE2AA9">
      <w:pPr>
        <w:spacing w:after="0" w:line="360" w:lineRule="auto"/>
        <w:ind w:firstLine="709"/>
        <w:jc w:val="both"/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3"/>
        <w:gridCol w:w="2823"/>
        <w:gridCol w:w="2773"/>
      </w:tblGrid>
      <w:tr w:rsidR="00436D2D" w:rsidRPr="002E722F" w:rsidTr="003913FC">
        <w:trPr>
          <w:jc w:val="center"/>
        </w:trPr>
        <w:tc>
          <w:tcPr>
            <w:tcW w:w="3451" w:type="dxa"/>
          </w:tcPr>
          <w:p w:rsidR="00436D2D" w:rsidRPr="002E722F" w:rsidRDefault="003913FC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</w:t>
            </w:r>
            <w:r w:rsidR="00436D2D" w:rsidRPr="002E722F">
              <w:rPr>
                <w:sz w:val="20"/>
                <w:szCs w:val="28"/>
              </w:rPr>
              <w:t>роцедуры аудита по видам работ</w:t>
            </w:r>
          </w:p>
        </w:tc>
        <w:tc>
          <w:tcPr>
            <w:tcW w:w="3212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Нормативные акты</w:t>
            </w:r>
          </w:p>
        </w:tc>
        <w:tc>
          <w:tcPr>
            <w:tcW w:w="3225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Информация аудируемого лица</w:t>
            </w:r>
          </w:p>
        </w:tc>
      </w:tr>
      <w:tr w:rsidR="00436D2D" w:rsidRPr="002E722F" w:rsidTr="003913FC">
        <w:trPr>
          <w:jc w:val="center"/>
        </w:trPr>
        <w:tc>
          <w:tcPr>
            <w:tcW w:w="3451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1. Оценка системы внутреннего контроля на предприятии</w:t>
            </w:r>
          </w:p>
        </w:tc>
        <w:tc>
          <w:tcPr>
            <w:tcW w:w="3212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</w:rPr>
              <w:t>ФЗ №129 «О бухгалтерском учете» от 21.11.1996</w:t>
            </w:r>
          </w:p>
        </w:tc>
        <w:tc>
          <w:tcPr>
            <w:tcW w:w="3225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Устный опрос</w:t>
            </w:r>
          </w:p>
        </w:tc>
      </w:tr>
      <w:tr w:rsidR="00436D2D" w:rsidRPr="002E722F" w:rsidTr="003913FC">
        <w:trPr>
          <w:jc w:val="center"/>
        </w:trPr>
        <w:tc>
          <w:tcPr>
            <w:tcW w:w="3451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2. Анализ документов, относящихся к ведению импортной деятельности</w:t>
            </w:r>
          </w:p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3212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ФЗ  №173 от 10.12.2003 «О валютном регулировании и валютном контроле»;</w:t>
            </w:r>
          </w:p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ФЗ №164 от 8.12.2003 «Об основах государственного регулирования внешнеторговой деятельности»;</w:t>
            </w:r>
          </w:p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ТК РФ</w:t>
            </w:r>
          </w:p>
        </w:tc>
        <w:tc>
          <w:tcPr>
            <w:tcW w:w="3225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Контракты с приложениями,  паспорта сделок, инвойсы, коносаменты, Грузовые Таможенные Декларации (ГТД), международные товарно-транспортные накладные</w:t>
            </w:r>
          </w:p>
        </w:tc>
      </w:tr>
      <w:tr w:rsidR="00436D2D" w:rsidRPr="002E722F" w:rsidTr="003913FC">
        <w:trPr>
          <w:jc w:val="center"/>
        </w:trPr>
        <w:tc>
          <w:tcPr>
            <w:tcW w:w="3451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 xml:space="preserve">3. Проверка перехода права собственности при совершении импортных операций </w:t>
            </w:r>
          </w:p>
        </w:tc>
        <w:tc>
          <w:tcPr>
            <w:tcW w:w="3212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Международное законодательство, ИНКОТЕРМС</w:t>
            </w:r>
          </w:p>
        </w:tc>
        <w:tc>
          <w:tcPr>
            <w:tcW w:w="3225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Контракт с приложениями, первичная документация</w:t>
            </w:r>
          </w:p>
        </w:tc>
      </w:tr>
      <w:tr w:rsidR="00436D2D" w:rsidRPr="002E722F" w:rsidTr="003913FC">
        <w:trPr>
          <w:jc w:val="center"/>
        </w:trPr>
        <w:tc>
          <w:tcPr>
            <w:tcW w:w="3451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4. Проверка порядка формирования стоимости ТМЦ, оборудования и прочих активов, приобретенных в результате совершения импортных операций</w:t>
            </w:r>
          </w:p>
        </w:tc>
        <w:tc>
          <w:tcPr>
            <w:tcW w:w="3212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bCs/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ПБУ 3/2006  «Учет активов и обязательств, стоимость которых выражена в иностранной валюте»;</w:t>
            </w:r>
          </w:p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ПБУ 5/2001 «Учет материально-производственных запасов»</w:t>
            </w:r>
          </w:p>
        </w:tc>
        <w:tc>
          <w:tcPr>
            <w:tcW w:w="3225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Декларация Таможенной Стоимости (ДТС), документы по расходам, связанным с доставкой товара, расшифровка счетов 10, 41, 60</w:t>
            </w:r>
          </w:p>
        </w:tc>
      </w:tr>
      <w:tr w:rsidR="00436D2D" w:rsidRPr="002E722F" w:rsidTr="003913FC">
        <w:trPr>
          <w:jc w:val="center"/>
        </w:trPr>
        <w:tc>
          <w:tcPr>
            <w:tcW w:w="3451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5. Проверка правильности исчисления и  отражения таможенных платежей и НДС, подлежащих уплате на таможне</w:t>
            </w:r>
          </w:p>
        </w:tc>
        <w:tc>
          <w:tcPr>
            <w:tcW w:w="3212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ТК РФ;</w:t>
            </w:r>
          </w:p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Закон РФ №5003-</w:t>
            </w:r>
            <w:r w:rsidRPr="002E722F">
              <w:rPr>
                <w:sz w:val="20"/>
                <w:szCs w:val="28"/>
                <w:lang w:val="en-US"/>
              </w:rPr>
              <w:t>I</w:t>
            </w:r>
            <w:r w:rsidRPr="002E722F">
              <w:rPr>
                <w:sz w:val="20"/>
                <w:szCs w:val="28"/>
              </w:rPr>
              <w:t xml:space="preserve"> «О таможенном тарифе»    от 21.05.1993</w:t>
            </w:r>
          </w:p>
        </w:tc>
        <w:tc>
          <w:tcPr>
            <w:tcW w:w="3225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ГТД, расшифровка                   счета 76</w:t>
            </w:r>
          </w:p>
        </w:tc>
      </w:tr>
      <w:tr w:rsidR="00436D2D" w:rsidRPr="002E722F" w:rsidTr="003913FC">
        <w:trPr>
          <w:jc w:val="center"/>
        </w:trPr>
        <w:tc>
          <w:tcPr>
            <w:tcW w:w="3451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6. Проверка правильности отражения расчетов с поставщиками и дебиторской\кредиторской задолженности</w:t>
            </w:r>
          </w:p>
        </w:tc>
        <w:tc>
          <w:tcPr>
            <w:tcW w:w="3212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ПБУ 3/2006  «Учет активов и обязательств, стоимость которых выражена в иностранной валюте»</w:t>
            </w:r>
          </w:p>
        </w:tc>
        <w:tc>
          <w:tcPr>
            <w:tcW w:w="3225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Расшифровка счетов 52, 60, 91 (субсчет «курсовые разницы»)</w:t>
            </w:r>
          </w:p>
        </w:tc>
      </w:tr>
      <w:tr w:rsidR="00436D2D" w:rsidRPr="002E722F" w:rsidTr="003913FC">
        <w:trPr>
          <w:jc w:val="center"/>
        </w:trPr>
        <w:tc>
          <w:tcPr>
            <w:tcW w:w="3451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7. Проверка правильности исчисления и отражения курсовых разниц по импортным операциям</w:t>
            </w:r>
          </w:p>
        </w:tc>
        <w:tc>
          <w:tcPr>
            <w:tcW w:w="3212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ПБУ 3/2006  «Учет активов и обязательств, стоимость которых выражена в иностранной валюте»</w:t>
            </w:r>
          </w:p>
        </w:tc>
        <w:tc>
          <w:tcPr>
            <w:tcW w:w="3225" w:type="dxa"/>
          </w:tcPr>
          <w:p w:rsidR="00436D2D" w:rsidRPr="002E722F" w:rsidRDefault="003913FC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 xml:space="preserve">Расшифровка счетов </w:t>
            </w:r>
            <w:r w:rsidR="00436D2D" w:rsidRPr="002E722F">
              <w:rPr>
                <w:sz w:val="20"/>
                <w:szCs w:val="28"/>
              </w:rPr>
              <w:t>52, 60, 91,</w:t>
            </w:r>
          </w:p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  <w:szCs w:val="28"/>
              </w:rPr>
              <w:t>документы по расчетам курсовых разниц</w:t>
            </w:r>
          </w:p>
        </w:tc>
      </w:tr>
    </w:tbl>
    <w:p w:rsidR="00436D2D" w:rsidRPr="002E722F" w:rsidRDefault="0014540D" w:rsidP="00CE2AA9">
      <w:pPr>
        <w:spacing w:after="0" w:line="360" w:lineRule="auto"/>
        <w:ind w:firstLine="709"/>
        <w:jc w:val="both"/>
        <w:rPr>
          <w:szCs w:val="44"/>
        </w:rPr>
      </w:pPr>
      <w:r w:rsidRPr="002E722F">
        <w:rPr>
          <w:szCs w:val="44"/>
        </w:rPr>
        <w:br w:type="page"/>
      </w:r>
      <w:r w:rsidR="00436D2D" w:rsidRPr="002E722F">
        <w:rPr>
          <w:szCs w:val="44"/>
        </w:rPr>
        <w:t>7. Разработка программы аудита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Программа аудита является развитием общего плана аудита и представляет собой детальный перечень содержания</w:t>
      </w:r>
      <w:r w:rsidR="0014540D" w:rsidRPr="002E722F">
        <w:rPr>
          <w:szCs w:val="28"/>
        </w:rPr>
        <w:t xml:space="preserve"> аудиторских процедур, необходи</w:t>
      </w:r>
      <w:r w:rsidRPr="002E722F">
        <w:rPr>
          <w:szCs w:val="28"/>
        </w:rPr>
        <w:t>мых для практической реализации плана аудита. Программа служит подробной инструкцией для ассистентов аудитора, а для руководителей аудиторской организации и аудиторской группы — одновременно и средством контроля качества работы.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В процессе подготовки программы аудита аудитор обязан принимать во внимание полученные им оценки неотъемлемого риска и риска средств контроля, а также требуемый уровень уверенности, который должен быть обеспечен при процедурах проверки по существу, временные рамки тестов средств контроля и процедур проверки по существу, координацию любой помощи, которую предполагается получить от аудируемого лица, а также привлечение других аудиторов или экспертов.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Выводы аудитора по каждому разделу аудиторской программы, документально отраженные в рабочих документах, являются фактическим материалом для составления аудиторского отчета (письменной информации руководству экономического субъекта) и аудиторского заключения, а также основанием для формирования объективного мнения аудитора о бухгалтерской отчетности экономического субъекта.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По окончании процесса планирования аудита общий план и программа аудита должны быть оформлены документально и подтверждены руководителем проверки.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68"/>
        <w:gridCol w:w="1106"/>
        <w:gridCol w:w="2069"/>
      </w:tblGrid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Планируемые процедуры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Исполнитель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Дата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 xml:space="preserve">Примечания </w:t>
            </w: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1. Оценка системы внутреннего контроля на предприятии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</w:rPr>
              <w:t>1</w:t>
            </w:r>
            <w:r w:rsidRPr="002E722F">
              <w:rPr>
                <w:sz w:val="20"/>
                <w:lang w:val="en-US"/>
              </w:rPr>
              <w:t>.</w:t>
            </w:r>
            <w:r w:rsidRPr="002E722F">
              <w:rPr>
                <w:sz w:val="20"/>
              </w:rPr>
              <w:t>10</w:t>
            </w:r>
            <w:r w:rsidRPr="002E722F">
              <w:rPr>
                <w:sz w:val="20"/>
                <w:lang w:val="en-US"/>
              </w:rPr>
              <w:t>.</w:t>
            </w:r>
            <w:r w:rsidRPr="002E722F">
              <w:rPr>
                <w:sz w:val="20"/>
              </w:rPr>
              <w:t>09</w:t>
            </w:r>
            <w:r w:rsidRPr="002E722F">
              <w:rPr>
                <w:sz w:val="20"/>
                <w:lang w:val="en-US"/>
              </w:rPr>
              <w:t xml:space="preserve"> – 2.10.09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1.1. Оценка организационной структуры предприятия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1.10.09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1.2. Оценка структуры бухгалтерии предприятия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1.10.09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1.3. Оценка квалификации управленческого персонала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2.10.09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</w:rPr>
              <w:t xml:space="preserve">2. </w:t>
            </w:r>
            <w:r w:rsidRPr="002E722F">
              <w:rPr>
                <w:sz w:val="20"/>
                <w:szCs w:val="28"/>
              </w:rPr>
              <w:t>Анализ документов, относящихся к ведению импортной деятельности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Петров М. Н.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1.10.09 – 3.10.09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2.1. Проверка и анализ контракта сделки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Петров М. Н.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1.10.09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2.2. Проверка и анализ приложений к контракту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Петров М. Н.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2.10.09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2.3. Проверка и анализ паспорта сделок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Петров М. Н.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2.10.09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2.4. Проверка и анализ инвойса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Петров М. Н..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3.10.09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2.5 Проверка и анализ ГТД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Петров М. Н.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3.10.09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 xml:space="preserve">3. </w:t>
            </w:r>
            <w:r w:rsidRPr="002E722F">
              <w:rPr>
                <w:sz w:val="20"/>
                <w:szCs w:val="28"/>
              </w:rPr>
              <w:t>Проверка перехода права собственности при совершении импортных операций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 xml:space="preserve">3.10.09 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3.1. Проверка соответствия перехода права собственности условиям, указанным в контракте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3.10.09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3.2. Проверка своевременности оприходования и отражения приобретенных ТМЦ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3.10.09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 xml:space="preserve">4. </w:t>
            </w:r>
            <w:r w:rsidRPr="002E722F">
              <w:rPr>
                <w:sz w:val="20"/>
                <w:szCs w:val="28"/>
              </w:rPr>
              <w:t>Проверка порядка формирования стоимости ТМЦ, оборудования и прочих активов, приобретенных в результате совершения импортных операций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Петров М. Н.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4.10.09 – 5.10.09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4.1. Проверка отражения расчетов, связанных с покупкой ТМЦ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Петров М. Н.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4.10.09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4.2. Проверка отражения расчетов, связанных с доставкой ТМЦ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Петров М. Н.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4.10.09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4.3. Проверка отражения расчетов с таможней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Петров М. Н.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5.10.09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  <w:szCs w:val="28"/>
              </w:rPr>
              <w:t>5. Проверка правильности исчисления и  отражения таможенных платежей и НДС, подлежащих уплате на таможне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4.10.09– 5.10.09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5.1. Проверка расчетов и отражения таможенных платежей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4.10.09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5.2. Проверка расчетов и отражения  платежей по НДС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5.10.09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  <w:szCs w:val="28"/>
              </w:rPr>
              <w:t>6. Проверка правильности отражения расчетов с поставщиками и дебиторской\кредиторской задолженности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Петров М. Н.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6.10.09 – 7.10.09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 xml:space="preserve">6.1. Проверка </w:t>
            </w:r>
            <w:r w:rsidRPr="002E722F">
              <w:rPr>
                <w:sz w:val="20"/>
                <w:szCs w:val="28"/>
              </w:rPr>
              <w:t>правильности отражения расчетов с фирмой-поставщиком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Петров М. Н.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6.10.09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szCs w:val="28"/>
              </w:rPr>
            </w:pPr>
            <w:r w:rsidRPr="002E722F">
              <w:rPr>
                <w:sz w:val="20"/>
              </w:rPr>
              <w:t>6.2.</w:t>
            </w:r>
            <w:r w:rsidRPr="002E722F">
              <w:rPr>
                <w:sz w:val="20"/>
                <w:szCs w:val="28"/>
              </w:rPr>
              <w:t xml:space="preserve"> Проверка правильности отражения расчетов с фирмой-транспортером</w:t>
            </w:r>
          </w:p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Петров М. Н.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7.10.09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  <w:szCs w:val="28"/>
              </w:rPr>
              <w:t>7. Проверка правильности исчисления и отражения курсовых разниц по импортным операциям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5.10.09 – 7.10.09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7.1. Проверка исчисления и отражения курсовых разниц при покупке валюты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5.10.09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7.2. Проверка исчисления и отражения курсовых разниц при покупке товара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6.10.09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36D2D" w:rsidRPr="002E722F" w:rsidTr="0014540D">
        <w:trPr>
          <w:jc w:val="center"/>
        </w:trPr>
        <w:tc>
          <w:tcPr>
            <w:tcW w:w="3652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 xml:space="preserve">7.3. Проверка исчисления и отражения курсовых разниц при </w:t>
            </w:r>
          </w:p>
        </w:tc>
        <w:tc>
          <w:tcPr>
            <w:tcW w:w="2126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  <w:r w:rsidRPr="002E722F">
              <w:rPr>
                <w:sz w:val="20"/>
              </w:rPr>
              <w:t>Иванов А. А.</w:t>
            </w:r>
          </w:p>
        </w:tc>
        <w:tc>
          <w:tcPr>
            <w:tcW w:w="1134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  <w:lang w:val="en-US"/>
              </w:rPr>
            </w:pPr>
            <w:r w:rsidRPr="002E722F">
              <w:rPr>
                <w:sz w:val="20"/>
                <w:lang w:val="en-US"/>
              </w:rPr>
              <w:t>7.10.09</w:t>
            </w:r>
          </w:p>
        </w:tc>
        <w:tc>
          <w:tcPr>
            <w:tcW w:w="2127" w:type="dxa"/>
          </w:tcPr>
          <w:p w:rsidR="00436D2D" w:rsidRPr="002E722F" w:rsidRDefault="00436D2D" w:rsidP="00907FDB">
            <w:pPr>
              <w:tabs>
                <w:tab w:val="left" w:pos="9496"/>
              </w:tabs>
              <w:spacing w:after="0" w:line="360" w:lineRule="auto"/>
              <w:ind w:firstLine="0"/>
              <w:jc w:val="both"/>
              <w:rPr>
                <w:sz w:val="20"/>
              </w:rPr>
            </w:pPr>
          </w:p>
        </w:tc>
      </w:tr>
    </w:tbl>
    <w:p w:rsidR="00436D2D" w:rsidRPr="002E722F" w:rsidRDefault="0014540D" w:rsidP="00CE2AA9">
      <w:pPr>
        <w:spacing w:after="0" w:line="360" w:lineRule="auto"/>
        <w:ind w:firstLine="709"/>
        <w:jc w:val="both"/>
        <w:rPr>
          <w:szCs w:val="72"/>
        </w:rPr>
      </w:pPr>
      <w:r w:rsidRPr="002E722F">
        <w:rPr>
          <w:szCs w:val="72"/>
        </w:rPr>
        <w:br w:type="page"/>
      </w:r>
      <w:r w:rsidR="00436D2D" w:rsidRPr="002E722F">
        <w:rPr>
          <w:szCs w:val="72"/>
        </w:rPr>
        <w:t>Заключение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>В данной работе были рассмотрены основные положения аудита на примере проверки учета предприятия, осуществляющего деятельности по импорту товаров, работ и услуг: приведены нормативные акты, регулирующие как учет работы самого предприятия, так и проведение аудиторской проверки; перечислены документы, которые фирма должна предоставить аудитору для осуществления проверки; дана информация по оценке системы внутреннего контроля аудируемого лица, а также определению условий существенности и аудиторского риска; наконец, был разработан план и программа для проверки деятельности предприятия, занимающегося импортной деятельностью.</w:t>
      </w:r>
    </w:p>
    <w:p w:rsidR="00436D2D" w:rsidRPr="002E722F" w:rsidRDefault="00436D2D" w:rsidP="00CE2AA9">
      <w:pPr>
        <w:spacing w:after="0" w:line="360" w:lineRule="auto"/>
        <w:ind w:firstLine="709"/>
        <w:jc w:val="both"/>
        <w:rPr>
          <w:szCs w:val="28"/>
        </w:rPr>
      </w:pPr>
      <w:r w:rsidRPr="002E722F">
        <w:rPr>
          <w:szCs w:val="28"/>
        </w:rPr>
        <w:t xml:space="preserve">Подводя итог, можно отметить, что аудиторская проверка представляет собой деятельность очень сложную и комплексную, требующую больших трудовых и временных затрат, как в плане ее подготовки, так и осуществления. Вместе с тем, это востребованная и необходимая работа, в которой заинтересовано и государство, принимающее санкции в отношении недобросовестных предпринимателей и организаций, и сами организации, желающие обнаружить и исправить </w:t>
      </w:r>
      <w:r w:rsidR="0014540D" w:rsidRPr="002E722F">
        <w:rPr>
          <w:szCs w:val="28"/>
        </w:rPr>
        <w:t xml:space="preserve">ошибки в ведении учета, или же </w:t>
      </w:r>
      <w:r w:rsidRPr="002E722F">
        <w:rPr>
          <w:szCs w:val="28"/>
        </w:rPr>
        <w:t>подтвердить правильность его ведения.</w:t>
      </w:r>
      <w:bookmarkStart w:id="0" w:name="_GoBack"/>
      <w:bookmarkEnd w:id="0"/>
    </w:p>
    <w:sectPr w:rsidR="00436D2D" w:rsidRPr="002E722F" w:rsidSect="002E722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6E6F"/>
    <w:multiLevelType w:val="hybridMultilevel"/>
    <w:tmpl w:val="C2DE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D7065"/>
    <w:multiLevelType w:val="hybridMultilevel"/>
    <w:tmpl w:val="2026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DC0"/>
    <w:multiLevelType w:val="hybridMultilevel"/>
    <w:tmpl w:val="059CAA64"/>
    <w:lvl w:ilvl="0" w:tplc="493E3C62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85605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6273AF"/>
    <w:multiLevelType w:val="hybridMultilevel"/>
    <w:tmpl w:val="A02C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71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0D0110"/>
    <w:multiLevelType w:val="hybridMultilevel"/>
    <w:tmpl w:val="04CC6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943A3"/>
    <w:multiLevelType w:val="hybridMultilevel"/>
    <w:tmpl w:val="F0A6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1373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6DA303E"/>
    <w:multiLevelType w:val="hybridMultilevel"/>
    <w:tmpl w:val="C3F41BAA"/>
    <w:lvl w:ilvl="0" w:tplc="CC4ACD8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DDF75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3E521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7E3D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610D7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43616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925667E"/>
    <w:multiLevelType w:val="hybridMultilevel"/>
    <w:tmpl w:val="9DA68696"/>
    <w:lvl w:ilvl="0" w:tplc="493E3C6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C7151D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00B0916"/>
    <w:multiLevelType w:val="hybridMultilevel"/>
    <w:tmpl w:val="A6E2A25E"/>
    <w:lvl w:ilvl="0" w:tplc="493E3C62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2321BA1"/>
    <w:multiLevelType w:val="hybridMultilevel"/>
    <w:tmpl w:val="5CC43526"/>
    <w:lvl w:ilvl="0" w:tplc="493E3C62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57617C09"/>
    <w:multiLevelType w:val="hybridMultilevel"/>
    <w:tmpl w:val="9350D950"/>
    <w:lvl w:ilvl="0" w:tplc="4124852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4780E16"/>
    <w:multiLevelType w:val="hybridMultilevel"/>
    <w:tmpl w:val="3F4A4A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732BB4"/>
    <w:multiLevelType w:val="hybridMultilevel"/>
    <w:tmpl w:val="A2F8A162"/>
    <w:lvl w:ilvl="0" w:tplc="493E3C6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1A0B07"/>
    <w:multiLevelType w:val="hybridMultilevel"/>
    <w:tmpl w:val="E04EBE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0A1885"/>
    <w:multiLevelType w:val="hybridMultilevel"/>
    <w:tmpl w:val="89CCE4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4138D7"/>
    <w:multiLevelType w:val="hybridMultilevel"/>
    <w:tmpl w:val="984E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CB2817"/>
    <w:multiLevelType w:val="hybridMultilevel"/>
    <w:tmpl w:val="63EAA4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6">
    <w:nsid w:val="6C6B1FF9"/>
    <w:multiLevelType w:val="hybridMultilevel"/>
    <w:tmpl w:val="1572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B93B55"/>
    <w:multiLevelType w:val="hybridMultilevel"/>
    <w:tmpl w:val="EF1A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A63D9"/>
    <w:multiLevelType w:val="hybridMultilevel"/>
    <w:tmpl w:val="A718F7A4"/>
    <w:lvl w:ilvl="0" w:tplc="493E3C62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70676AE4"/>
    <w:multiLevelType w:val="hybridMultilevel"/>
    <w:tmpl w:val="AAE808B8"/>
    <w:lvl w:ilvl="0" w:tplc="493E3C6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08602FA"/>
    <w:multiLevelType w:val="hybridMultilevel"/>
    <w:tmpl w:val="610ECE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0C23E5"/>
    <w:multiLevelType w:val="hybridMultilevel"/>
    <w:tmpl w:val="CCF43C64"/>
    <w:lvl w:ilvl="0" w:tplc="493E3C6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6"/>
  </w:num>
  <w:num w:numId="2">
    <w:abstractNumId w:val="10"/>
  </w:num>
  <w:num w:numId="3">
    <w:abstractNumId w:val="30"/>
  </w:num>
  <w:num w:numId="4">
    <w:abstractNumId w:val="24"/>
  </w:num>
  <w:num w:numId="5">
    <w:abstractNumId w:val="4"/>
  </w:num>
  <w:num w:numId="6">
    <w:abstractNumId w:val="0"/>
  </w:num>
  <w:num w:numId="7">
    <w:abstractNumId w:val="14"/>
  </w:num>
  <w:num w:numId="8">
    <w:abstractNumId w:val="5"/>
  </w:num>
  <w:num w:numId="9">
    <w:abstractNumId w:val="25"/>
  </w:num>
  <w:num w:numId="10">
    <w:abstractNumId w:val="7"/>
  </w:num>
  <w:num w:numId="11">
    <w:abstractNumId w:val="22"/>
  </w:num>
  <w:num w:numId="12">
    <w:abstractNumId w:val="23"/>
  </w:num>
  <w:num w:numId="13">
    <w:abstractNumId w:val="13"/>
  </w:num>
  <w:num w:numId="14">
    <w:abstractNumId w:val="6"/>
  </w:num>
  <w:num w:numId="15">
    <w:abstractNumId w:val="27"/>
  </w:num>
  <w:num w:numId="16">
    <w:abstractNumId w:val="1"/>
  </w:num>
  <w:num w:numId="17">
    <w:abstractNumId w:val="16"/>
  </w:num>
  <w:num w:numId="18">
    <w:abstractNumId w:val="8"/>
  </w:num>
  <w:num w:numId="19">
    <w:abstractNumId w:val="20"/>
  </w:num>
  <w:num w:numId="20">
    <w:abstractNumId w:val="19"/>
  </w:num>
  <w:num w:numId="21">
    <w:abstractNumId w:val="9"/>
  </w:num>
  <w:num w:numId="22">
    <w:abstractNumId w:val="31"/>
  </w:num>
  <w:num w:numId="23">
    <w:abstractNumId w:val="2"/>
  </w:num>
  <w:num w:numId="24">
    <w:abstractNumId w:val="18"/>
  </w:num>
  <w:num w:numId="25">
    <w:abstractNumId w:val="17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11"/>
  </w:num>
  <w:num w:numId="31">
    <w:abstractNumId w:val="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885"/>
    <w:rsid w:val="00001F36"/>
    <w:rsid w:val="00011A29"/>
    <w:rsid w:val="0001667C"/>
    <w:rsid w:val="000171C3"/>
    <w:rsid w:val="000309A3"/>
    <w:rsid w:val="00043B59"/>
    <w:rsid w:val="00052889"/>
    <w:rsid w:val="00055E48"/>
    <w:rsid w:val="00065EF5"/>
    <w:rsid w:val="00081857"/>
    <w:rsid w:val="0008437E"/>
    <w:rsid w:val="000866C1"/>
    <w:rsid w:val="00091088"/>
    <w:rsid w:val="000A5105"/>
    <w:rsid w:val="000A7D72"/>
    <w:rsid w:val="000B6AE4"/>
    <w:rsid w:val="000C1C66"/>
    <w:rsid w:val="000D76B8"/>
    <w:rsid w:val="000E52ED"/>
    <w:rsid w:val="000E552C"/>
    <w:rsid w:val="000F462D"/>
    <w:rsid w:val="001029BE"/>
    <w:rsid w:val="00103B96"/>
    <w:rsid w:val="001343E5"/>
    <w:rsid w:val="0013469D"/>
    <w:rsid w:val="0014416E"/>
    <w:rsid w:val="0014540D"/>
    <w:rsid w:val="001463A4"/>
    <w:rsid w:val="0014653F"/>
    <w:rsid w:val="00153562"/>
    <w:rsid w:val="00161BEE"/>
    <w:rsid w:val="001632B9"/>
    <w:rsid w:val="001663B0"/>
    <w:rsid w:val="0017333D"/>
    <w:rsid w:val="001755C1"/>
    <w:rsid w:val="00175955"/>
    <w:rsid w:val="0018313C"/>
    <w:rsid w:val="001959DA"/>
    <w:rsid w:val="00196DC4"/>
    <w:rsid w:val="001A498B"/>
    <w:rsid w:val="001A5C97"/>
    <w:rsid w:val="001B4052"/>
    <w:rsid w:val="001C0242"/>
    <w:rsid w:val="001D0BA2"/>
    <w:rsid w:val="001D21B4"/>
    <w:rsid w:val="001D3E01"/>
    <w:rsid w:val="001F0DC3"/>
    <w:rsid w:val="00201AC1"/>
    <w:rsid w:val="00201B75"/>
    <w:rsid w:val="00202A87"/>
    <w:rsid w:val="002163EB"/>
    <w:rsid w:val="00224D83"/>
    <w:rsid w:val="002253FE"/>
    <w:rsid w:val="00243083"/>
    <w:rsid w:val="00256586"/>
    <w:rsid w:val="00256D28"/>
    <w:rsid w:val="0026379C"/>
    <w:rsid w:val="0027693E"/>
    <w:rsid w:val="00285EB2"/>
    <w:rsid w:val="00290333"/>
    <w:rsid w:val="002977B8"/>
    <w:rsid w:val="002A2FF8"/>
    <w:rsid w:val="002A3F50"/>
    <w:rsid w:val="002B1EF8"/>
    <w:rsid w:val="002B48F2"/>
    <w:rsid w:val="002C0F1D"/>
    <w:rsid w:val="002D523D"/>
    <w:rsid w:val="002D7170"/>
    <w:rsid w:val="002E722F"/>
    <w:rsid w:val="002F0FFE"/>
    <w:rsid w:val="002F1008"/>
    <w:rsid w:val="002F436F"/>
    <w:rsid w:val="002F681C"/>
    <w:rsid w:val="0032467A"/>
    <w:rsid w:val="00325D0F"/>
    <w:rsid w:val="00327EC0"/>
    <w:rsid w:val="00343385"/>
    <w:rsid w:val="00347D5C"/>
    <w:rsid w:val="00377FD5"/>
    <w:rsid w:val="003913FC"/>
    <w:rsid w:val="00392EE6"/>
    <w:rsid w:val="00395BA8"/>
    <w:rsid w:val="003A773C"/>
    <w:rsid w:val="003B0307"/>
    <w:rsid w:val="003B3762"/>
    <w:rsid w:val="003C42AA"/>
    <w:rsid w:val="003D2970"/>
    <w:rsid w:val="003D4A44"/>
    <w:rsid w:val="003F6A3A"/>
    <w:rsid w:val="00413F25"/>
    <w:rsid w:val="00424668"/>
    <w:rsid w:val="0043619A"/>
    <w:rsid w:val="00436D2D"/>
    <w:rsid w:val="00442823"/>
    <w:rsid w:val="00454B45"/>
    <w:rsid w:val="004836C3"/>
    <w:rsid w:val="004869D0"/>
    <w:rsid w:val="00492E4B"/>
    <w:rsid w:val="004965D1"/>
    <w:rsid w:val="004A29AC"/>
    <w:rsid w:val="004A2B3A"/>
    <w:rsid w:val="004B3AEE"/>
    <w:rsid w:val="004B4347"/>
    <w:rsid w:val="004B77AF"/>
    <w:rsid w:val="004B7B80"/>
    <w:rsid w:val="004C30D1"/>
    <w:rsid w:val="004D192E"/>
    <w:rsid w:val="004D316D"/>
    <w:rsid w:val="004E20FE"/>
    <w:rsid w:val="004E555B"/>
    <w:rsid w:val="004E75FB"/>
    <w:rsid w:val="00501B78"/>
    <w:rsid w:val="0050314E"/>
    <w:rsid w:val="00504EC9"/>
    <w:rsid w:val="0051401E"/>
    <w:rsid w:val="00542D0B"/>
    <w:rsid w:val="0055787E"/>
    <w:rsid w:val="00563F93"/>
    <w:rsid w:val="00564683"/>
    <w:rsid w:val="00566BFC"/>
    <w:rsid w:val="00570C99"/>
    <w:rsid w:val="00572A82"/>
    <w:rsid w:val="005756AB"/>
    <w:rsid w:val="00585455"/>
    <w:rsid w:val="00585B90"/>
    <w:rsid w:val="00594A28"/>
    <w:rsid w:val="005B5E00"/>
    <w:rsid w:val="005C021C"/>
    <w:rsid w:val="005D44E6"/>
    <w:rsid w:val="005F4AB8"/>
    <w:rsid w:val="00604AAD"/>
    <w:rsid w:val="00605273"/>
    <w:rsid w:val="00633BC6"/>
    <w:rsid w:val="00645727"/>
    <w:rsid w:val="006523CB"/>
    <w:rsid w:val="00670096"/>
    <w:rsid w:val="00673D33"/>
    <w:rsid w:val="006839C4"/>
    <w:rsid w:val="006B6CEB"/>
    <w:rsid w:val="006C3515"/>
    <w:rsid w:val="006C37E3"/>
    <w:rsid w:val="006C630E"/>
    <w:rsid w:val="006D1BC2"/>
    <w:rsid w:val="006D5D6F"/>
    <w:rsid w:val="006E0E90"/>
    <w:rsid w:val="006E5C4D"/>
    <w:rsid w:val="00712A79"/>
    <w:rsid w:val="00715341"/>
    <w:rsid w:val="007177EF"/>
    <w:rsid w:val="00727E82"/>
    <w:rsid w:val="007328BB"/>
    <w:rsid w:val="00737EAA"/>
    <w:rsid w:val="0074378F"/>
    <w:rsid w:val="0074599D"/>
    <w:rsid w:val="00760FE5"/>
    <w:rsid w:val="00761FA9"/>
    <w:rsid w:val="00782FC5"/>
    <w:rsid w:val="00792BD8"/>
    <w:rsid w:val="007941CC"/>
    <w:rsid w:val="007C0B53"/>
    <w:rsid w:val="007C63D5"/>
    <w:rsid w:val="007E49BD"/>
    <w:rsid w:val="007F0527"/>
    <w:rsid w:val="007F4539"/>
    <w:rsid w:val="00801F51"/>
    <w:rsid w:val="008307F0"/>
    <w:rsid w:val="00833F72"/>
    <w:rsid w:val="00847B62"/>
    <w:rsid w:val="00850C43"/>
    <w:rsid w:val="0085494F"/>
    <w:rsid w:val="00876C6F"/>
    <w:rsid w:val="008932C2"/>
    <w:rsid w:val="008959E3"/>
    <w:rsid w:val="008A4DD4"/>
    <w:rsid w:val="008B2C59"/>
    <w:rsid w:val="008B6885"/>
    <w:rsid w:val="008B76F8"/>
    <w:rsid w:val="008C0394"/>
    <w:rsid w:val="008D0CBB"/>
    <w:rsid w:val="008E6E56"/>
    <w:rsid w:val="009009D0"/>
    <w:rsid w:val="00902446"/>
    <w:rsid w:val="00907FDB"/>
    <w:rsid w:val="00936421"/>
    <w:rsid w:val="00955784"/>
    <w:rsid w:val="00983616"/>
    <w:rsid w:val="00993885"/>
    <w:rsid w:val="0099523E"/>
    <w:rsid w:val="009A6D17"/>
    <w:rsid w:val="009E3E04"/>
    <w:rsid w:val="00A031B9"/>
    <w:rsid w:val="00A133AE"/>
    <w:rsid w:val="00A14952"/>
    <w:rsid w:val="00A2061F"/>
    <w:rsid w:val="00A2508C"/>
    <w:rsid w:val="00A44834"/>
    <w:rsid w:val="00A468FB"/>
    <w:rsid w:val="00A46FF5"/>
    <w:rsid w:val="00A51188"/>
    <w:rsid w:val="00A549FF"/>
    <w:rsid w:val="00A613B9"/>
    <w:rsid w:val="00A9071B"/>
    <w:rsid w:val="00A9121F"/>
    <w:rsid w:val="00A95A2B"/>
    <w:rsid w:val="00A95E5A"/>
    <w:rsid w:val="00AA0583"/>
    <w:rsid w:val="00AA0CAE"/>
    <w:rsid w:val="00AA3BEB"/>
    <w:rsid w:val="00AB4EE9"/>
    <w:rsid w:val="00AD61D5"/>
    <w:rsid w:val="00AE2586"/>
    <w:rsid w:val="00AE6650"/>
    <w:rsid w:val="00AF0B48"/>
    <w:rsid w:val="00AF69BD"/>
    <w:rsid w:val="00B04FF9"/>
    <w:rsid w:val="00B12971"/>
    <w:rsid w:val="00B12E23"/>
    <w:rsid w:val="00B13FFD"/>
    <w:rsid w:val="00B403C0"/>
    <w:rsid w:val="00B455B6"/>
    <w:rsid w:val="00B51A1A"/>
    <w:rsid w:val="00B5587C"/>
    <w:rsid w:val="00B55DD2"/>
    <w:rsid w:val="00B77462"/>
    <w:rsid w:val="00B824B5"/>
    <w:rsid w:val="00B93EEC"/>
    <w:rsid w:val="00B966E4"/>
    <w:rsid w:val="00BA31CA"/>
    <w:rsid w:val="00BA4C38"/>
    <w:rsid w:val="00BB68AF"/>
    <w:rsid w:val="00BB78CC"/>
    <w:rsid w:val="00BD38E5"/>
    <w:rsid w:val="00BD5BE1"/>
    <w:rsid w:val="00BD71BA"/>
    <w:rsid w:val="00BE3519"/>
    <w:rsid w:val="00BF0414"/>
    <w:rsid w:val="00BF1768"/>
    <w:rsid w:val="00C01326"/>
    <w:rsid w:val="00C11B68"/>
    <w:rsid w:val="00C14748"/>
    <w:rsid w:val="00C15584"/>
    <w:rsid w:val="00C16818"/>
    <w:rsid w:val="00C405C9"/>
    <w:rsid w:val="00C42E5C"/>
    <w:rsid w:val="00C47CA2"/>
    <w:rsid w:val="00C54A5A"/>
    <w:rsid w:val="00C57F9A"/>
    <w:rsid w:val="00C72133"/>
    <w:rsid w:val="00C8791C"/>
    <w:rsid w:val="00C91150"/>
    <w:rsid w:val="00C92144"/>
    <w:rsid w:val="00CA55D9"/>
    <w:rsid w:val="00CA7C5B"/>
    <w:rsid w:val="00CB0124"/>
    <w:rsid w:val="00CC0CFD"/>
    <w:rsid w:val="00CC5D98"/>
    <w:rsid w:val="00CD4034"/>
    <w:rsid w:val="00CD51A8"/>
    <w:rsid w:val="00CD54C8"/>
    <w:rsid w:val="00CD6190"/>
    <w:rsid w:val="00CE0075"/>
    <w:rsid w:val="00CE14DF"/>
    <w:rsid w:val="00CE2AA9"/>
    <w:rsid w:val="00CE7030"/>
    <w:rsid w:val="00D05C0D"/>
    <w:rsid w:val="00D11B30"/>
    <w:rsid w:val="00D21495"/>
    <w:rsid w:val="00D27757"/>
    <w:rsid w:val="00D30A3F"/>
    <w:rsid w:val="00D417AC"/>
    <w:rsid w:val="00D467F9"/>
    <w:rsid w:val="00D52DA4"/>
    <w:rsid w:val="00D6386B"/>
    <w:rsid w:val="00D67095"/>
    <w:rsid w:val="00D85F4D"/>
    <w:rsid w:val="00D86029"/>
    <w:rsid w:val="00D91D05"/>
    <w:rsid w:val="00D95A69"/>
    <w:rsid w:val="00DA1AFC"/>
    <w:rsid w:val="00DA68DD"/>
    <w:rsid w:val="00DB51CD"/>
    <w:rsid w:val="00DB6345"/>
    <w:rsid w:val="00DC3EA7"/>
    <w:rsid w:val="00DC6B0B"/>
    <w:rsid w:val="00DD0047"/>
    <w:rsid w:val="00DF6A59"/>
    <w:rsid w:val="00E17B9B"/>
    <w:rsid w:val="00E21118"/>
    <w:rsid w:val="00E2645F"/>
    <w:rsid w:val="00E27F49"/>
    <w:rsid w:val="00E31CCC"/>
    <w:rsid w:val="00E41DA0"/>
    <w:rsid w:val="00E46857"/>
    <w:rsid w:val="00E5205C"/>
    <w:rsid w:val="00E62FB7"/>
    <w:rsid w:val="00E63E65"/>
    <w:rsid w:val="00EA40B7"/>
    <w:rsid w:val="00EA5BE4"/>
    <w:rsid w:val="00EB3BA3"/>
    <w:rsid w:val="00EC23B6"/>
    <w:rsid w:val="00EC6B18"/>
    <w:rsid w:val="00ED1D2E"/>
    <w:rsid w:val="00EE1141"/>
    <w:rsid w:val="00EE7EED"/>
    <w:rsid w:val="00EF2B39"/>
    <w:rsid w:val="00EF54BC"/>
    <w:rsid w:val="00F0141F"/>
    <w:rsid w:val="00F02040"/>
    <w:rsid w:val="00F02E57"/>
    <w:rsid w:val="00F13FF8"/>
    <w:rsid w:val="00F14A97"/>
    <w:rsid w:val="00F26632"/>
    <w:rsid w:val="00F463E2"/>
    <w:rsid w:val="00F46785"/>
    <w:rsid w:val="00F50E72"/>
    <w:rsid w:val="00F556E5"/>
    <w:rsid w:val="00F722A6"/>
    <w:rsid w:val="00F827C6"/>
    <w:rsid w:val="00F86140"/>
    <w:rsid w:val="00F87F86"/>
    <w:rsid w:val="00F9082E"/>
    <w:rsid w:val="00F91646"/>
    <w:rsid w:val="00F92B3C"/>
    <w:rsid w:val="00F93741"/>
    <w:rsid w:val="00F93DC9"/>
    <w:rsid w:val="00FA2DAF"/>
    <w:rsid w:val="00FC4198"/>
    <w:rsid w:val="00FD5074"/>
    <w:rsid w:val="00FE27BF"/>
    <w:rsid w:val="00FE7BBA"/>
    <w:rsid w:val="00FF0DB1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780E47-DA04-4B3F-81E7-B49B3D1A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9A"/>
    <w:pPr>
      <w:spacing w:after="200" w:line="276" w:lineRule="auto"/>
      <w:ind w:firstLine="567"/>
      <w:contextualSpacing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2508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613B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6885"/>
    <w:pPr>
      <w:keepNext/>
      <w:spacing w:after="0" w:line="240" w:lineRule="auto"/>
      <w:jc w:val="center"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133AE"/>
    <w:pPr>
      <w:widowControl w:val="0"/>
    </w:pPr>
    <w:rPr>
      <w:rFonts w:ascii="Arial" w:hAnsi="Arial"/>
      <w:b/>
      <w:sz w:val="16"/>
    </w:rPr>
  </w:style>
  <w:style w:type="paragraph" w:styleId="a3">
    <w:name w:val="List Paragraph"/>
    <w:basedOn w:val="a"/>
    <w:uiPriority w:val="99"/>
    <w:qFormat/>
    <w:rsid w:val="008B6885"/>
    <w:pPr>
      <w:ind w:left="720"/>
    </w:pPr>
  </w:style>
  <w:style w:type="character" w:customStyle="1" w:styleId="60">
    <w:name w:val="Заголовок 6 Знак"/>
    <w:link w:val="6"/>
    <w:uiPriority w:val="99"/>
    <w:locked/>
    <w:rsid w:val="008B6885"/>
    <w:rPr>
      <w:rFonts w:ascii="Times New Roman" w:hAnsi="Times New Roman" w:cs="Times New Roman"/>
      <w:b/>
      <w:sz w:val="20"/>
      <w:szCs w:val="20"/>
    </w:rPr>
  </w:style>
  <w:style w:type="paragraph" w:customStyle="1" w:styleId="ConsNormal">
    <w:name w:val="ConsNormal"/>
    <w:uiPriority w:val="99"/>
    <w:rsid w:val="00E46857"/>
    <w:pPr>
      <w:widowControl w:val="0"/>
      <w:ind w:firstLine="720"/>
    </w:pPr>
    <w:rPr>
      <w:rFonts w:ascii="Consultant" w:hAnsi="Consultant"/>
    </w:rPr>
  </w:style>
  <w:style w:type="paragraph" w:styleId="3">
    <w:name w:val="Body Text Indent 3"/>
    <w:basedOn w:val="a"/>
    <w:link w:val="30"/>
    <w:uiPriority w:val="99"/>
    <w:semiHidden/>
    <w:rsid w:val="00161BEE"/>
    <w:pPr>
      <w:spacing w:after="0" w:line="336" w:lineRule="auto"/>
      <w:ind w:firstLine="720"/>
      <w:jc w:val="both"/>
    </w:pPr>
    <w:rPr>
      <w:sz w:val="24"/>
      <w:szCs w:val="20"/>
    </w:rPr>
  </w:style>
  <w:style w:type="table" w:styleId="a4">
    <w:name w:val="Table Grid"/>
    <w:basedOn w:val="a1"/>
    <w:uiPriority w:val="99"/>
    <w:rsid w:val="00A9121F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link w:val="3"/>
    <w:uiPriority w:val="99"/>
    <w:semiHidden/>
    <w:locked/>
    <w:rsid w:val="00161BEE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0171C3"/>
    <w:pPr>
      <w:spacing w:after="120"/>
      <w:ind w:left="283"/>
    </w:pPr>
  </w:style>
  <w:style w:type="paragraph" w:styleId="21">
    <w:name w:val="Body Text Indent 2"/>
    <w:basedOn w:val="a"/>
    <w:link w:val="22"/>
    <w:uiPriority w:val="99"/>
    <w:rsid w:val="000171C3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0171C3"/>
    <w:rPr>
      <w:rFonts w:cs="Times New Roman"/>
    </w:rPr>
  </w:style>
  <w:style w:type="paragraph" w:styleId="23">
    <w:name w:val="Body Text 2"/>
    <w:basedOn w:val="a"/>
    <w:link w:val="24"/>
    <w:uiPriority w:val="99"/>
    <w:rsid w:val="000171C3"/>
    <w:pPr>
      <w:spacing w:after="120" w:line="480" w:lineRule="auto"/>
    </w:pPr>
  </w:style>
  <w:style w:type="character" w:customStyle="1" w:styleId="22">
    <w:name w:val="Основной текст с отступом 2 Знак"/>
    <w:link w:val="21"/>
    <w:uiPriority w:val="99"/>
    <w:locked/>
    <w:rsid w:val="000171C3"/>
    <w:rPr>
      <w:rFonts w:cs="Times New Roman"/>
    </w:rPr>
  </w:style>
  <w:style w:type="character" w:customStyle="1" w:styleId="20">
    <w:name w:val="Заголовок 2 Знак"/>
    <w:link w:val="2"/>
    <w:uiPriority w:val="99"/>
    <w:semiHidden/>
    <w:locked/>
    <w:rsid w:val="00A613B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24">
    <w:name w:val="Основной текст 2 Знак"/>
    <w:link w:val="23"/>
    <w:uiPriority w:val="99"/>
    <w:locked/>
    <w:rsid w:val="000171C3"/>
    <w:rPr>
      <w:rFonts w:cs="Times New Roman"/>
    </w:rPr>
  </w:style>
  <w:style w:type="character" w:styleId="a7">
    <w:name w:val="Hyperlink"/>
    <w:uiPriority w:val="99"/>
    <w:rsid w:val="00B13FFD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A2508C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5987</Words>
  <Characters>34130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Reanimator Extreme Edition</Company>
  <LinksUpToDate>false</LinksUpToDate>
  <CharactersWithSpaces>40037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Admin</dc:creator>
  <cp:keywords/>
  <dc:description/>
  <cp:lastModifiedBy>admin</cp:lastModifiedBy>
  <cp:revision>2</cp:revision>
  <cp:lastPrinted>2009-05-12T01:09:00Z</cp:lastPrinted>
  <dcterms:created xsi:type="dcterms:W3CDTF">2014-03-13T18:43:00Z</dcterms:created>
  <dcterms:modified xsi:type="dcterms:W3CDTF">2014-03-13T18:43:00Z</dcterms:modified>
</cp:coreProperties>
</file>